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Biohaven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Woodline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7,660,280.00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7,660,280.00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7,660,280.00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Biohaven Ltd.</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Biohaven Pharmaceuticals, Inc., 215 Church Street, New Haven, Connecticut 06510</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Woodline Partners LP ("Woodline Partners" or the "Reporting Person"), a Delaware limited partnership, and the investment adviser to Woodline Master Fund LP and Woodline Spire Master Fund LP (the "Woodline Funds"), with respect to the common shares, no par value per share ("Common Shares"), of Biohaven Ltd. (the "Company") directly held by the Woodline Funds. The filing of this statement should not be construed as an admission that any of the foregoing persons or the Reporting Person is, for the purposes of Section 13 of the Securities Exchange Act of 1934, the beneficial owner of the Common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Woodline Partners is 4 Embarcadero Center, Suite 3450, San Francisco, CA 94111.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Woodline Partners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The percentage set forth in this Schedule 13G is calculated based upon an aggregate of 150,560,990 Common Shares outstanding as of April 30, 2026, as reported in the Company's Quarterly Report on Form 10-Q for the quarterly period ended March 31, 2026, filed with the Securities and Exchange Commission on May 4, 2026.</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Woodline Partners 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Erin Mullen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Erin Mullen,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1126</Words>
  <Characters>5692</Characters>
  <CharactersWithSpaces>6808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