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20, 2022</w:t>
      </w:r>
    </w:p>
    <w:p>
      <w:pPr>
        <w:spacing w:after="0" w:line="6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File No. 001-41477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560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74295</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Biohaven Ltd.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90805</wp:posOffset>
            </wp:positionV>
            <wp:extent cx="156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341" w:lineRule="exact"/>
        <w:rPr>
          <w:sz w:val="24"/>
          <w:szCs w:val="24"/>
          <w:color w:val="auto"/>
        </w:rPr>
      </w:pPr>
    </w:p>
    <w:tbl>
      <w:tblPr>
        <w:tblLayout w:type="fixed"/>
        <w:tblInd w:w="1460" w:type="dxa"/>
        <w:tblCellMar>
          <w:top w:w="0" w:type="dxa"/>
          <w:left w:w="0" w:type="dxa"/>
          <w:bottom w:w="0" w:type="dxa"/>
          <w:right w:w="0" w:type="dxa"/>
        </w:tblCellMar>
      </w:tblPr>
      <w:tr>
        <w:trPr>
          <w:trHeight w:val="190"/>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b w:val="1"/>
                <w:bCs w:val="1"/>
                <w:color w:val="auto"/>
              </w:rPr>
              <w:t>British Virgin Islands</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58"/>
        </w:trPr>
        <w:tc>
          <w:tcPr>
            <w:tcW w:w="5720" w:type="dxa"/>
            <w:vAlign w:val="bottom"/>
            <w:gridSpan w:val="3"/>
          </w:tcPr>
          <w:p>
            <w:pPr>
              <w:jc w:val="center"/>
              <w:ind w:right="3000"/>
              <w:spacing w:after="0" w:line="15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0" w:type="dxa"/>
            <w:vAlign w:val="bottom"/>
          </w:tcPr>
          <w:p>
            <w:pPr>
              <w:spacing w:after="0"/>
              <w:rPr>
                <w:sz w:val="1"/>
                <w:szCs w:val="1"/>
                <w:color w:val="auto"/>
              </w:rPr>
            </w:pPr>
          </w:p>
        </w:tc>
      </w:tr>
      <w:tr>
        <w:trPr>
          <w:trHeight w:val="368"/>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b w:val="1"/>
                <w:bCs w:val="1"/>
                <w:color w:val="auto"/>
              </w:rPr>
              <w:t>c/o Biohaven Pharmaceuticals, Inc.</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06510</w:t>
            </w:r>
          </w:p>
        </w:tc>
        <w:tc>
          <w:tcPr>
            <w:tcW w:w="0" w:type="dxa"/>
            <w:vAlign w:val="bottom"/>
          </w:tcPr>
          <w:p>
            <w:pPr>
              <w:spacing w:after="0"/>
              <w:rPr>
                <w:sz w:val="1"/>
                <w:szCs w:val="1"/>
                <w:color w:val="auto"/>
              </w:rPr>
            </w:pPr>
          </w:p>
        </w:tc>
      </w:tr>
      <w:tr>
        <w:trPr>
          <w:trHeight w:val="190"/>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b w:val="1"/>
                <w:bCs w:val="1"/>
                <w:color w:val="auto"/>
              </w:rPr>
              <w:t>215 Church Street, New Haven, Connecticut</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720" w:type="dxa"/>
            <w:vAlign w:val="bottom"/>
            <w:gridSpan w:val="3"/>
          </w:tcPr>
          <w:p>
            <w:pPr>
              <w:jc w:val="center"/>
              <w:ind w:right="3000"/>
              <w:spacing w:after="0" w:line="149" w:lineRule="exact"/>
              <w:rPr>
                <w:sz w:val="20"/>
                <w:szCs w:val="20"/>
                <w:color w:val="auto"/>
              </w:rPr>
            </w:pPr>
            <w:r>
              <w:rPr>
                <w:rFonts w:ascii="Times New Roman" w:cs="Times New Roman" w:eastAsia="Times New Roman" w:hAnsi="Times New Roman"/>
                <w:sz w:val="14"/>
                <w:szCs w:val="14"/>
                <w:color w:val="auto"/>
              </w:rPr>
              <w:t>(Address of Principal</w:t>
            </w: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color w:val="auto"/>
              </w:rPr>
              <w:t>Executive Offices)</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jc w:val="center"/>
              <w:ind w:left="2868"/>
              <w:spacing w:after="0" w:line="149" w:lineRule="exact"/>
              <w:rPr>
                <w:sz w:val="20"/>
                <w:szCs w:val="20"/>
                <w:color w:val="auto"/>
              </w:rPr>
            </w:pPr>
            <w:r>
              <w:rPr>
                <w:rFonts w:ascii="Times New Roman" w:cs="Times New Roman" w:eastAsia="Times New Roman" w:hAnsi="Times New Roman"/>
                <w:sz w:val="14"/>
                <w:szCs w:val="14"/>
                <w:color w:val="auto"/>
              </w:rPr>
              <w:t>(203) 404-0410</w:t>
            </w:r>
          </w:p>
        </w:tc>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720" w:type="dxa"/>
            <w:vAlign w:val="bottom"/>
            <w:gridSpan w:val="3"/>
          </w:tcPr>
          <w:p>
            <w:pPr>
              <w:jc w:val="center"/>
              <w:ind w:left="25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2"/>
        </w:trPr>
        <w:tc>
          <w:tcPr>
            <w:tcW w:w="2940" w:type="dxa"/>
            <w:vAlign w:val="bottom"/>
          </w:tcPr>
          <w:p>
            <w:pPr>
              <w:spacing w:after="0"/>
              <w:rPr>
                <w:sz w:val="24"/>
                <w:szCs w:val="24"/>
                <w:color w:val="auto"/>
              </w:rPr>
            </w:pPr>
          </w:p>
        </w:tc>
        <w:tc>
          <w:tcPr>
            <w:tcW w:w="2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2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Pursuant to Section 12(b) of the Act:</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39"/>
        </w:trPr>
        <w:tc>
          <w:tcPr>
            <w:tcW w:w="5720" w:type="dxa"/>
            <w:vAlign w:val="bottom"/>
            <w:gridSpan w:val="3"/>
          </w:tcPr>
          <w:p>
            <w:pPr>
              <w:jc w:val="center"/>
              <w:ind w:right="3000"/>
              <w:spacing w:after="0" w:line="139" w:lineRule="exact"/>
              <w:rPr>
                <w:sz w:val="20"/>
                <w:szCs w:val="20"/>
                <w:color w:val="auto"/>
              </w:rPr>
            </w:pPr>
            <w:r>
              <w:rPr>
                <w:rFonts w:ascii="Times New Roman" w:cs="Times New Roman" w:eastAsia="Times New Roman" w:hAnsi="Times New Roman"/>
                <w:sz w:val="14"/>
                <w:szCs w:val="14"/>
                <w:b w:val="1"/>
                <w:bCs w:val="1"/>
                <w:color w:val="auto"/>
              </w:rPr>
              <w:t>to be so Registered</w:t>
            </w:r>
          </w:p>
        </w:tc>
        <w:tc>
          <w:tcPr>
            <w:tcW w:w="24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on Which Each Class is to be Registered</w:t>
            </w:r>
          </w:p>
        </w:tc>
        <w:tc>
          <w:tcPr>
            <w:tcW w:w="0" w:type="dxa"/>
            <w:vAlign w:val="bottom"/>
          </w:tcPr>
          <w:p>
            <w:pPr>
              <w:spacing w:after="0"/>
              <w:rPr>
                <w:sz w:val="1"/>
                <w:szCs w:val="1"/>
                <w:color w:val="auto"/>
              </w:rPr>
            </w:pPr>
          </w:p>
        </w:tc>
      </w:tr>
      <w:tr>
        <w:trPr>
          <w:trHeight w:val="188"/>
        </w:trPr>
        <w:tc>
          <w:tcPr>
            <w:tcW w:w="5720" w:type="dxa"/>
            <w:vAlign w:val="bottom"/>
            <w:gridSpan w:val="3"/>
          </w:tcPr>
          <w:p>
            <w:pPr>
              <w:jc w:val="center"/>
              <w:ind w:right="3000"/>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 Pursuant to Section 12(g)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18"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93"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44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w:t>
      </w:r>
    </w:p>
    <w:p>
      <w:pPr>
        <w:spacing w:after="0" w:line="78" w:lineRule="exact"/>
        <w:rPr>
          <w:sz w:val="24"/>
          <w:szCs w:val="24"/>
          <w:color w:val="auto"/>
        </w:rPr>
      </w:pPr>
    </w:p>
    <w:p>
      <w:pPr>
        <w:sectPr>
          <w:pgSz w:w="11900" w:h="16838" w:orient="portrait"/>
          <w:cols w:equalWidth="0" w:num="3">
            <w:col w:w="160" w:space="40"/>
            <w:col w:w="4720" w:space="720"/>
            <w:col w:w="56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840"/>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color w:val="auto"/>
        </w:rPr>
        <w:t>Smaller Reporting Company</w:t>
      </w:r>
    </w:p>
    <w:p>
      <w:pPr>
        <w:spacing w:after="0" w:line="54" w:lineRule="exact"/>
        <w:rPr>
          <w:sz w:val="24"/>
          <w:szCs w:val="24"/>
          <w:color w:val="auto"/>
        </w:rPr>
      </w:pPr>
    </w:p>
    <w:p>
      <w:pPr>
        <w:sectPr>
          <w:pgSz w:w="11900" w:h="16838" w:orient="portrait"/>
          <w:cols w:equalWidth="0" w:num="2">
            <w:col w:w="4920" w:space="720"/>
            <w:col w:w="5600"/>
          </w:cols>
          <w:pgMar w:left="320" w:top="1440" w:right="339" w:bottom="1440" w:gutter="0" w:footer="0" w:header="0"/>
          <w:type w:val="continuous"/>
        </w:sectPr>
      </w:pPr>
    </w:p>
    <w:p>
      <w:pPr>
        <w:ind w:left="5640"/>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color w:val="auto"/>
        </w:rPr>
        <w:t>Emerging Growth Company</w:t>
      </w:r>
    </w:p>
    <w:p>
      <w:pPr>
        <w:sectPr>
          <w:pgSz w:w="11900" w:h="16838" w:orient="portrait"/>
          <w:cols w:equalWidth="0" w:num="1">
            <w:col w:w="11240"/>
          </w:cols>
          <w:pgMar w:left="320" w:top="1440" w:right="339" w:bottom="1440" w:gutter="0" w:footer="0" w:header="0"/>
          <w:type w:val="continuous"/>
        </w:sectPr>
      </w:pPr>
    </w:p>
    <w:p>
      <w:pPr>
        <w:spacing w:after="0" w:line="324" w:lineRule="exact"/>
        <w:rPr>
          <w:sz w:val="24"/>
          <w:szCs w:val="24"/>
          <w:color w:val="auto"/>
        </w:rPr>
      </w:pPr>
    </w:p>
    <w:p>
      <w:pPr>
        <w:ind w:right="560"/>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left="360" w:right="44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REQUIRED IN REGISTRATION STATEMENT CROSS REFERENCE SHEET BETWEEN ITEMS OF FORM 10 AND THE ATTACHED INFORMATION STATEMENT.</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“Information Statement Summary,” “Business,” “Where You Can Find More Information” and “Combined Financial Statements” of the Information Statement.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“Risk Factors” in the Information Statement.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Financial Information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“Unaudited Pro Forma Combined Financial Information,” “Management’s Discussion and Analysis of Financial Condition and Results of Operations” and “Combined Financial Statements” of the Information Statement. Those sections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“Business — Properties” of the Information Statement.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“Principal Shareholders” of the Information Statement.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“Corporate Governance and Management” of the Information Statement.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“Corporate Governance and Management — Non-Employee Director Compensation” and “Executive Compensation” of the Information Statement.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under the sections “Certain Relationships and Related Party Transactions,” “Principal Shareholders” and “Corporate Governance and Management — Director Independence” of the Information Statement. Those sections are incorporated herein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“Business — Legal Proceedings” of the Information Statement. That section is incorporated herein by reference.</w:t>
      </w:r>
    </w:p>
    <w:p>
      <w:pPr>
        <w:sectPr>
          <w:pgSz w:w="11900" w:h="16838" w:orient="portrait"/>
          <w:cols w:equalWidth="0" w:num="1">
            <w:col w:w="11220"/>
          </w:cols>
          <w:pgMar w:left="320" w:top="13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“Information Statement Summary,” “Risk Factors,” “The Separation and Distribution,” “Dividend Policy,” “Corporate Governance and Management,” “Shares Eligible for Future Sale” and “Description of Share Capital” of the Information Statement. Those sections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Biohaven Ltd. was incorporated on May 2, 2022 under the laws of the British Virgin Islands. On May 2, 2022, Biohaven Pharmaceutical Holding Company Ltd. acquired 100 common shares of Biohaven Ltd. for a nominal capital contribution.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Description of Registrant’s Securities to be Registered</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“The Separation and Distribution” and “Description of Share Capital” of the Information Statement.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“Executive Compensation — Limitation of Liability and Indemnification of Officers and Directors” of the Information Statement.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“Unaudited Pro Forma Combined Financial Information,” “Management’s Discussion and Analysis of Financial Condition and Results of Operations” and “Index to Combined Financial Statements” of this Information Statement. Those sections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Financial Statements and Exhibits</w:t>
      </w:r>
    </w:p>
    <w:p>
      <w:pPr>
        <w:spacing w:after="0" w:line="229" w:lineRule="exact"/>
        <w:rPr>
          <w:sz w:val="20"/>
          <w:szCs w:val="20"/>
          <w:color w:val="auto"/>
        </w:rPr>
      </w:pPr>
    </w:p>
    <w:p>
      <w:pPr>
        <w:ind w:left="660" w:hanging="49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“Index to Combined Financial Statements” beginning on page F-1 of the Information Statement. That section is incorporated herein by reference.</w:t>
      </w:r>
    </w:p>
    <w:p>
      <w:pPr>
        <w:sectPr>
          <w:pgSz w:w="11900" w:h="16838" w:orient="portrait"/>
          <w:cols w:equalWidth="0" w:num="1">
            <w:col w:w="11220"/>
          </w:cols>
          <w:pgMar w:left="320" w:top="1305" w:right="359" w:bottom="1440" w:gutter="0" w:footer="0" w:header="0"/>
        </w:sectPr>
      </w:pPr>
    </w:p>
    <w:bookmarkStart w:id="3" w:name="page4"/>
    <w:bookmarkEnd w:id="3"/>
    <w:p>
      <w:pPr>
        <w:ind w:left="660" w:hanging="54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60" w:type="dxa"/>
            <w:vAlign w:val="bottom"/>
            <w:gridSpan w:val="21"/>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29"/>
          </w:tcPr>
          <w:p>
            <w:pPr>
              <w:spacing w:after="0" w:line="182"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Separation and Distribution Agreement, dated as of May 9, 2022, by and among Pfizer Inc., Bulldog (BVI) Ltd. and Biohaven</w:t>
              </w:r>
            </w:hyperlink>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Pharmaceutical Holding Company Ltd.</w:t>
              </w:r>
            </w:hyperlink>
            <w:r>
              <w:rPr>
                <w:rFonts w:ascii="Times New Roman" w:cs="Times New Roman" w:eastAsia="Times New Roman" w:hAnsi="Times New Roman"/>
                <w:sz w:val="16"/>
                <w:szCs w:val="16"/>
                <w:color w:val="000000"/>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Agreement and Plan of Merger, dated as of May 9, 2022, by and among Pfizer Inc., Bulldog (BVI) Ltd. and Biohaven Pharmaceutical</w:t>
              </w:r>
            </w:hyperlink>
          </w:p>
        </w:tc>
        <w:tc>
          <w:tcPr>
            <w:tcW w:w="0" w:type="dxa"/>
            <w:vAlign w:val="bottom"/>
          </w:tcPr>
          <w:p>
            <w:pPr>
              <w:spacing w:after="0"/>
              <w:rPr>
                <w:sz w:val="1"/>
                <w:szCs w:val="1"/>
                <w:color w:val="auto"/>
              </w:rPr>
            </w:pPr>
          </w:p>
        </w:tc>
      </w:tr>
      <w:tr>
        <w:trPr>
          <w:trHeight w:val="163"/>
        </w:trPr>
        <w:tc>
          <w:tcPr>
            <w:tcW w:w="100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3"/>
          </w:tcPr>
          <w:p>
            <w:pPr>
              <w:spacing w:after="0" w:line="149" w:lineRule="exact"/>
              <w:rPr>
                <w:rFonts w:ascii="Times New Roman" w:cs="Times New Roman" w:eastAsia="Times New Roman" w:hAnsi="Times New Roman"/>
                <w:sz w:val="17"/>
                <w:szCs w:val="17"/>
                <w:color w:val="0000FF"/>
              </w:rPr>
            </w:pPr>
            <w:hyperlink r:id="rId16">
              <w:r>
                <w:rPr>
                  <w:rFonts w:ascii="Times New Roman" w:cs="Times New Roman" w:eastAsia="Times New Roman" w:hAnsi="Times New Roman"/>
                  <w:sz w:val="17"/>
                  <w:szCs w:val="17"/>
                  <w:color w:val="0000FF"/>
                </w:rPr>
                <w:t>Holding Company Ltd.</w:t>
              </w:r>
            </w:hyperlink>
          </w:p>
        </w:tc>
        <w:tc>
          <w:tcPr>
            <w:tcW w:w="300" w:type="dxa"/>
            <w:vAlign w:val="bottom"/>
            <w:tcBorders>
              <w:top w:val="single" w:sz="8" w:color="0000FF"/>
            </w:tcBorders>
          </w:tcPr>
          <w:p>
            <w:pPr>
              <w:jc w:val="right"/>
              <w:ind w:right="30"/>
              <w:spacing w:after="0" w:line="163" w:lineRule="exact"/>
              <w:rPr>
                <w:rFonts w:ascii="Times New Roman" w:cs="Times New Roman" w:eastAsia="Times New Roman" w:hAnsi="Times New Roman"/>
                <w:sz w:val="18"/>
                <w:szCs w:val="18"/>
                <w:color w:val="auto"/>
                <w:w w:val="88"/>
              </w:rPr>
            </w:pPr>
            <w:hyperlink r:id="rId16">
              <w:r>
                <w:rPr>
                  <w:rFonts w:ascii="Times New Roman" w:cs="Times New Roman" w:eastAsia="Times New Roman" w:hAnsi="Times New Roman"/>
                  <w:sz w:val="18"/>
                  <w:szCs w:val="18"/>
                  <w:color w:val="auto"/>
                  <w:w w:val="88"/>
                </w:rPr>
                <w:t>**</w:t>
              </w:r>
            </w:hyperlink>
          </w:p>
        </w:tc>
        <w:tc>
          <w:tcPr>
            <w:tcW w:w="7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gridSpan w:val="2"/>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Membership Interest Purchase Agreement, dated as of February 24, 2022, by and among Biohaven Therapeutics LTD., Knopp Biosciences</w:t>
              </w:r>
            </w:hyperlink>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LLC, Channel Biosciences, LLC and Biohaven Pharmaceutical Holding Company Ltd., solely for the purpose of Section 9.14</w:t>
              </w:r>
            </w:hyperlink>
          </w:p>
        </w:tc>
        <w:tc>
          <w:tcPr>
            <w:tcW w:w="760" w:type="dxa"/>
            <w:vAlign w:val="bottom"/>
            <w:tcBorders>
              <w:top w:val="single" w:sz="8" w:color="0000FF"/>
            </w:tcBorders>
            <w:gridSpan w:val="4"/>
          </w:tcPr>
          <w:p>
            <w:pPr>
              <w:jc w:val="right"/>
              <w:ind w:right="580"/>
              <w:spacing w:after="0" w:line="156" w:lineRule="exact"/>
              <w:rPr>
                <w:rFonts w:ascii="Times New Roman" w:cs="Times New Roman" w:eastAsia="Times New Roman" w:hAnsi="Times New Roman"/>
                <w:sz w:val="18"/>
                <w:szCs w:val="18"/>
                <w:color w:val="auto"/>
                <w:w w:val="88"/>
              </w:rPr>
            </w:pPr>
            <w:hyperlink r:id="rId17">
              <w:r>
                <w:rPr>
                  <w:rFonts w:ascii="Times New Roman" w:cs="Times New Roman" w:eastAsia="Times New Roman" w:hAnsi="Times New Roman"/>
                  <w:sz w:val="18"/>
                  <w:szCs w:val="18"/>
                  <w:color w:val="auto"/>
                  <w:w w:val="88"/>
                </w:rPr>
                <w:t>**</w:t>
              </w:r>
            </w:hyperlink>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Amended Memorandum and Articles of Association, to be in effect following the Distribution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Amended and Restated Agreement, by and between the Registrant and Yale University, dated as of May 6, 2019</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6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License Agreement, by and between the Registrant and AstraZeneca AB, dated as of September 4, 2018</w:t>
              </w:r>
            </w:hyperlink>
            <w:r>
              <w:rPr>
                <w:rFonts w:ascii="Times New Roman" w:cs="Times New Roman" w:eastAsia="Times New Roman" w:hAnsi="Times New Roman"/>
                <w:sz w:val="18"/>
                <w:szCs w:val="18"/>
                <w:color w:val="000000"/>
              </w:rPr>
              <w:t>**</w:t>
            </w:r>
          </w:p>
        </w:tc>
        <w:tc>
          <w:tcPr>
            <w:tcW w:w="204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License Agreement between Biohaven Therapeutics LTD. and Bristol-Myers Squibb Company, dated as of December 23, 2021</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ALS Biopharma Agreement, by and among the registrant, ALS Biopharma, LLC and Fox Chase Chemical Diversity Center Inc., dated as</w:t>
              </w:r>
            </w:hyperlink>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of August 10, 2015</w:t>
              </w:r>
              <w:r>
                <w:rPr>
                  <w:rFonts w:ascii="Times New Roman" w:cs="Times New Roman" w:eastAsia="Times New Roman" w:hAnsi="Times New Roman"/>
                  <w:sz w:val="16"/>
                  <w:szCs w:val="16"/>
                  <w:color w:val="000000"/>
                </w:rPr>
                <w:t>**</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Amendment and Assignment, by and among the Registrant, ALS Biopharma, LLC, Fox Chase Chemical Diversity Center and Biohaven</w:t>
              </w:r>
            </w:hyperlink>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Therapeutics Ltd, dated as of May 29, 2019</w:t>
              </w:r>
              <w:r>
                <w:rPr>
                  <w:rFonts w:ascii="Times New Roman" w:cs="Times New Roman" w:eastAsia="Times New Roman" w:hAnsi="Times New Roman"/>
                  <w:sz w:val="16"/>
                  <w:szCs w:val="16"/>
                  <w:color w:val="000000"/>
                </w:rPr>
                <w:t>**</w:t>
              </w:r>
            </w:hyperlink>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Employment Agreement dated May 9, 2017 by and between Biohaven Pharmaceuticals, Inc. and Vlad Coric</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Employment Agreement, dated December 8, 2021, between Biohaven Pharmaceuticals, Inc. and Matthew Buten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0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Offer Letter dated February 21, 2017 by and between Biohaven Pharmaceuticals, Inc. and Elyse Stock</w:t>
              </w:r>
            </w:hyperlink>
            <w:r>
              <w:rPr>
                <w:rFonts w:ascii="Times New Roman" w:cs="Times New Roman" w:eastAsia="Times New Roman" w:hAnsi="Times New Roman"/>
                <w:sz w:val="18"/>
                <w:szCs w:val="18"/>
                <w:color w:val="000000"/>
              </w:rPr>
              <w:t>**</w:t>
            </w:r>
          </w:p>
        </w:tc>
        <w:tc>
          <w:tcPr>
            <w:tcW w:w="20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Employment Agreement dated February 1, 2014 by and between Biohaven Pharmaceuticals, Inc. and Kimberly A. Gentile.</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Employment Agreement, dated March 29, 2016, between Biohaven Pharmaceutical Holding Company Ltd. and John Tilton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2022 Equity Incentive Plan</w:t>
              </w:r>
            </w:hyperlink>
            <w:r>
              <w:rPr>
                <w:rFonts w:ascii="Times New Roman" w:cs="Times New Roman" w:eastAsia="Times New Roman" w:hAnsi="Times New Roman"/>
                <w:sz w:val="18"/>
                <w:szCs w:val="18"/>
                <w:color w:val="000000"/>
              </w:rPr>
              <w:t>**</w:t>
            </w:r>
          </w:p>
        </w:tc>
        <w:tc>
          <w:tcPr>
            <w:tcW w:w="12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of Restricted Share Unit Grant Notice and Restricted Share Unit Award Agreement under 2022 Equity Incentive Plan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Form of Share Option Grant Notice and Share Option Agreement under 2022 Equity Incentive Plan</w:t>
              </w:r>
            </w:hyperlink>
            <w:r>
              <w:rPr>
                <w:rFonts w:ascii="Times New Roman" w:cs="Times New Roman" w:eastAsia="Times New Roman" w:hAnsi="Times New Roman"/>
                <w:sz w:val="18"/>
                <w:szCs w:val="18"/>
                <w:color w:val="000000"/>
              </w:rPr>
              <w:t>**</w:t>
            </w:r>
          </w:p>
        </w:tc>
        <w:tc>
          <w:tcPr>
            <w:tcW w:w="12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Legacy Equity Award Settlement Plan</w:t>
            </w:r>
          </w:p>
        </w:tc>
        <w:tc>
          <w:tcPr>
            <w:tcW w:w="29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760" w:type="dxa"/>
            <w:vAlign w:val="bottom"/>
            <w:tcBorders>
              <w:left w:val="single" w:sz="8" w:color="0000FF"/>
            </w:tcBorders>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 xml:space="preserve">2022 Employee Share Purchase Plan </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Form of Employment Agreement by and between Biohaven Ltd. and Vladimir Coric</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Form of Employment Agreement by and between Biohaven Ltd. and Matthew Buten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 xml:space="preserve">List </w:t>
            </w:r>
            <w:hyperlink r:id="rId35">
              <w:r>
                <w:rPr>
                  <w:rFonts w:ascii="Times New Roman" w:cs="Times New Roman" w:eastAsia="Times New Roman" w:hAnsi="Times New Roman"/>
                  <w:sz w:val="18"/>
                  <w:szCs w:val="18"/>
                  <w:color w:val="0000FF"/>
                  <w:w w:val="98"/>
                </w:rPr>
                <w:t>of Subsidiaries</w:t>
              </w:r>
            </w:hyperlink>
          </w:p>
        </w:tc>
        <w:tc>
          <w:tcPr>
            <w:tcW w:w="3040" w:type="dxa"/>
            <w:vAlign w:val="bottom"/>
            <w:tcBorders>
              <w:top w:val="single" w:sz="8" w:color="0000FF"/>
              <w:bottom w:val="single" w:sz="8" w:color="0000FF"/>
            </w:tcBorders>
            <w:gridSpan w:val="6"/>
          </w:tcPr>
          <w:p>
            <w:pPr>
              <w:jc w:val="right"/>
              <w:ind w:right="286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0000FF"/>
              <w:bottom w:val="single" w:sz="8" w:color="0000FF"/>
            </w:tcBorders>
            <w:gridSpan w:val="3"/>
          </w:tcPr>
          <w:p>
            <w:pPr>
              <w:spacing w:after="0"/>
              <w:rPr>
                <w:sz w:val="22"/>
                <w:szCs w:val="22"/>
                <w:color w:val="auto"/>
              </w:rPr>
            </w:pPr>
          </w:p>
        </w:tc>
        <w:tc>
          <w:tcPr>
            <w:tcW w:w="40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Preliminary Information Statement dated September 20, 2022</w:t>
            </w:r>
          </w:p>
        </w:tc>
        <w:tc>
          <w:tcPr>
            <w:tcW w:w="56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right="9480" w:firstLine="8"/>
        <w:spacing w:after="0" w:line="278" w:lineRule="auto"/>
        <w:tabs>
          <w:tab w:leader="none" w:pos="21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 Previously filed.</w:t>
      </w:r>
    </w:p>
    <w:p>
      <w:pPr>
        <w:sectPr>
          <w:pgSz w:w="11900" w:h="16838" w:orient="portrait"/>
          <w:cols w:equalWidth="0" w:num="1">
            <w:col w:w="11240"/>
          </w:cols>
          <w:pgMar w:left="320" w:top="1309"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Biohaven Ltd.</w:t>
      </w:r>
    </w:p>
    <w:p>
      <w:pPr>
        <w:spacing w:after="0" w:line="293" w:lineRule="exact"/>
        <w:rPr>
          <w:sz w:val="20"/>
          <w:szCs w:val="20"/>
          <w:color w:val="auto"/>
        </w:rPr>
      </w:pPr>
    </w:p>
    <w:p>
      <w:pPr>
        <w:ind w:left="752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Vlad Coric,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17145</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Vlad Coric, M.D.</w:t>
      </w:r>
    </w:p>
    <w:p>
      <w:pPr>
        <w:spacing w:after="0" w:line="2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20, 2022</w:t>
      </w:r>
    </w:p>
    <w:p>
      <w:pPr>
        <w:sectPr>
          <w:pgSz w:w="11900" w:h="16838" w:orient="portrait"/>
          <w:cols w:equalWidth="0" w:num="1">
            <w:col w:w="11220"/>
          </w:cols>
          <w:pgMar w:left="320" w:top="1305"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BIOHAVEN LTD.</w:t>
      </w:r>
    </w:p>
    <w:p>
      <w:pPr>
        <w:spacing w:after="0" w:line="16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LEGACY EQUITY AWARD SETTLEMENT PLAN</w:t>
      </w:r>
    </w:p>
    <w:p>
      <w:pPr>
        <w:spacing w:after="0" w:line="16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ADOPTED BY THE BOARD OF DIRECTORS: [●]</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SHAREHOLDERS: [●]</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 DATE: [●]</w:t>
      </w:r>
    </w:p>
    <w:p>
      <w:pPr>
        <w:spacing w:after="0" w:line="138"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63" w:lineRule="exact"/>
        <w:rPr>
          <w:rFonts w:ascii="Times New Roman" w:cs="Times New Roman" w:eastAsia="Times New Roman" w:hAnsi="Times New Roman"/>
          <w:sz w:val="22"/>
          <w:szCs w:val="22"/>
          <w:b w:val="1"/>
          <w:bCs w:val="1"/>
          <w:color w:val="auto"/>
        </w:rPr>
      </w:pPr>
    </w:p>
    <w:p>
      <w:pPr>
        <w:ind w:right="80" w:firstLine="656"/>
        <w:spacing w:after="0" w:line="261" w:lineRule="auto"/>
        <w:tabs>
          <w:tab w:leader="none" w:pos="1116" w:val="left"/>
        </w:tabs>
        <w:numPr>
          <w:ilvl w:val="1"/>
          <w:numId w:val="4"/>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 xml:space="preserve">Purpose. </w:t>
      </w:r>
      <w:r>
        <w:rPr>
          <w:rFonts w:ascii="Times New Roman" w:cs="Times New Roman" w:eastAsia="Times New Roman" w:hAnsi="Times New Roman"/>
          <w:sz w:val="21"/>
          <w:szCs w:val="21"/>
          <w:color w:val="auto"/>
        </w:rPr>
        <w:t>The Biohaven Ltd. Legacy Equity Award Settlement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of Biohaven Ltd., a BVI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is intended to provide for the grant and settlement of Option Awards and Restricted Share Unit Awards issued by the Company resulting from the treatment of Options and Restricted Share Units originally granted pursuant to the Biohaven Pharmaceutical Holding Company Ltd. 2017 Equity Incentive Plan (the “</w:t>
      </w:r>
      <w:r>
        <w:rPr>
          <w:rFonts w:ascii="Times New Roman" w:cs="Times New Roman" w:eastAsia="Times New Roman" w:hAnsi="Times New Roman"/>
          <w:sz w:val="21"/>
          <w:szCs w:val="21"/>
          <w:b w:val="1"/>
          <w:bCs w:val="1"/>
          <w:i w:val="1"/>
          <w:iCs w:val="1"/>
          <w:color w:val="auto"/>
        </w:rPr>
        <w:t>2017 Plan</w:t>
      </w:r>
      <w:r>
        <w:rPr>
          <w:rFonts w:ascii="Times New Roman" w:cs="Times New Roman" w:eastAsia="Times New Roman" w:hAnsi="Times New Roman"/>
          <w:sz w:val="21"/>
          <w:szCs w:val="21"/>
          <w:color w:val="auto"/>
        </w:rPr>
        <w:t>”) or the Biohaven Pharmaceutical Holding Company Ltd. 2014 Equity Incentive Plan that are outstanding immediately prior to the Distribution Date (together, the “</w:t>
      </w:r>
      <w:r>
        <w:rPr>
          <w:rFonts w:ascii="Times New Roman" w:cs="Times New Roman" w:eastAsia="Times New Roman" w:hAnsi="Times New Roman"/>
          <w:sz w:val="21"/>
          <w:szCs w:val="21"/>
          <w:b w:val="1"/>
          <w:bCs w:val="1"/>
          <w:i w:val="1"/>
          <w:iCs w:val="1"/>
          <w:color w:val="auto"/>
        </w:rPr>
        <w:t>Legacy Awards</w:t>
      </w:r>
      <w:r>
        <w:rPr>
          <w:rFonts w:ascii="Times New Roman" w:cs="Times New Roman" w:eastAsia="Times New Roman" w:hAnsi="Times New Roman"/>
          <w:sz w:val="21"/>
          <w:szCs w:val="21"/>
          <w:color w:val="auto"/>
        </w:rPr>
        <w:t>”) pursuant to and in accordance with the Separation and Distribution Agreement by and between Biohaven Pharmaceutical Holding Company Ltd., the Company and, solely with respect to the identified Sections, Pfizer Inc. (the “</w:t>
      </w:r>
      <w:r>
        <w:rPr>
          <w:rFonts w:ascii="Times New Roman" w:cs="Times New Roman" w:eastAsia="Times New Roman" w:hAnsi="Times New Roman"/>
          <w:sz w:val="21"/>
          <w:szCs w:val="21"/>
          <w:b w:val="1"/>
          <w:bCs w:val="1"/>
          <w:i w:val="1"/>
          <w:iCs w:val="1"/>
          <w:color w:val="auto"/>
        </w:rPr>
        <w:t>Distribution Agreement</w:t>
      </w:r>
      <w:r>
        <w:rPr>
          <w:rFonts w:ascii="Times New Roman" w:cs="Times New Roman" w:eastAsia="Times New Roman" w:hAnsi="Times New Roman"/>
          <w:sz w:val="21"/>
          <w:szCs w:val="21"/>
          <w:color w:val="auto"/>
        </w:rPr>
        <w:t>”). At the Effective Time (as defined in the Agreement and Plan of Merger, dated as of May 9, 2022, by and among Pfizer Inc., a Delaware corporation, Bulldog (BVI) Ltd., and Biohaven Pharmaceutical Holding Company Ltd. (the “</w:t>
      </w:r>
      <w:r>
        <w:rPr>
          <w:rFonts w:ascii="Times New Roman" w:cs="Times New Roman" w:eastAsia="Times New Roman" w:hAnsi="Times New Roman"/>
          <w:sz w:val="21"/>
          <w:szCs w:val="21"/>
          <w:b w:val="1"/>
          <w:bCs w:val="1"/>
          <w:i w:val="1"/>
          <w:iCs w:val="1"/>
          <w:color w:val="auto"/>
        </w:rPr>
        <w:t>Merger Agreement</w:t>
      </w:r>
      <w:r>
        <w:rPr>
          <w:rFonts w:ascii="Times New Roman" w:cs="Times New Roman" w:eastAsia="Times New Roman" w:hAnsi="Times New Roman"/>
          <w:sz w:val="21"/>
          <w:szCs w:val="21"/>
          <w:color w:val="auto"/>
        </w:rPr>
        <w:t>” and, together with the Distribution Agreement, the “</w:t>
      </w:r>
      <w:r>
        <w:rPr>
          <w:rFonts w:ascii="Times New Roman" w:cs="Times New Roman" w:eastAsia="Times New Roman" w:hAnsi="Times New Roman"/>
          <w:sz w:val="21"/>
          <w:szCs w:val="21"/>
          <w:b w:val="1"/>
          <w:bCs w:val="1"/>
          <w:i w:val="1"/>
          <w:iCs w:val="1"/>
          <w:color w:val="auto"/>
        </w:rPr>
        <w:t>Distribution and Merger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Documentation</w:t>
      </w:r>
      <w:r>
        <w:rPr>
          <w:rFonts w:ascii="Times New Roman" w:cs="Times New Roman" w:eastAsia="Times New Roman" w:hAnsi="Times New Roman"/>
          <w:sz w:val="21"/>
          <w:szCs w:val="21"/>
          <w:color w:val="auto"/>
        </w:rPr>
        <w:t>”)), all Options and Restricted Share Units issued pursuant to the Plan will accelerate and vest in full and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settled in common shares of the Company (“</w:t>
      </w:r>
      <w:r>
        <w:rPr>
          <w:rFonts w:ascii="Times New Roman" w:cs="Times New Roman" w:eastAsia="Times New Roman" w:hAnsi="Times New Roman"/>
          <w:sz w:val="21"/>
          <w:szCs w:val="21"/>
          <w:b w:val="1"/>
          <w:bCs w:val="1"/>
          <w:i w:val="1"/>
          <w:iCs w:val="1"/>
          <w:color w:val="auto"/>
        </w:rPr>
        <w:t>Common Shares</w:t>
      </w:r>
      <w:r>
        <w:rPr>
          <w:rFonts w:ascii="Times New Roman" w:cs="Times New Roman" w:eastAsia="Times New Roman" w:hAnsi="Times New Roman"/>
          <w:sz w:val="21"/>
          <w:szCs w:val="21"/>
          <w:color w:val="auto"/>
        </w:rPr>
        <w:t>”) (in the case of Options, by reducing the number of Common Shares issued to a Participant by a number of Common Shares sufficient to satisfy the exercise price).</w:t>
      </w:r>
    </w:p>
    <w:p>
      <w:pPr>
        <w:spacing w:after="0" w:line="123" w:lineRule="exact"/>
        <w:rPr>
          <w:rFonts w:ascii="Times New Roman" w:cs="Times New Roman" w:eastAsia="Times New Roman" w:hAnsi="Times New Roman"/>
          <w:sz w:val="21"/>
          <w:szCs w:val="21"/>
          <w:b w:val="1"/>
          <w:bCs w:val="1"/>
          <w:color w:val="010000"/>
        </w:rPr>
      </w:pPr>
    </w:p>
    <w:p>
      <w:pPr>
        <w:ind w:right="300" w:firstLine="656"/>
        <w:spacing w:after="0" w:line="260" w:lineRule="auto"/>
        <w:tabs>
          <w:tab w:leader="none" w:pos="1128" w:val="left"/>
        </w:tabs>
        <w:numPr>
          <w:ilvl w:val="1"/>
          <w:numId w:val="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For purposes of the Plan, the “</w:t>
      </w:r>
      <w:r>
        <w:rPr>
          <w:rFonts w:ascii="Times New Roman" w:cs="Times New Roman" w:eastAsia="Times New Roman" w:hAnsi="Times New Roman"/>
          <w:sz w:val="22"/>
          <w:szCs w:val="22"/>
          <w:b w:val="1"/>
          <w:bCs w:val="1"/>
          <w:i w:val="1"/>
          <w:iCs w:val="1"/>
          <w:color w:val="auto"/>
        </w:rPr>
        <w:t>Distribution Date</w:t>
      </w:r>
      <w:r>
        <w:rPr>
          <w:rFonts w:ascii="Times New Roman" w:cs="Times New Roman" w:eastAsia="Times New Roman" w:hAnsi="Times New Roman"/>
          <w:sz w:val="22"/>
          <w:szCs w:val="22"/>
          <w:color w:val="auto"/>
        </w:rPr>
        <w:t>” means the date on which the distribution by Biohaven Pharmaceutical Holding Company Ltd. to holders of its common shares of all the outstanding common shares of the Company occurs.</w:t>
      </w:r>
    </w:p>
    <w:p>
      <w:pPr>
        <w:spacing w:after="0" w:line="111" w:lineRule="exact"/>
        <w:rPr>
          <w:rFonts w:ascii="Times New Roman" w:cs="Times New Roman" w:eastAsia="Times New Roman" w:hAnsi="Times New Roman"/>
          <w:sz w:val="22"/>
          <w:szCs w:val="22"/>
          <w:b w:val="1"/>
          <w:bCs w:val="1"/>
          <w:color w:val="010000"/>
        </w:rPr>
      </w:pPr>
    </w:p>
    <w:p>
      <w:pPr>
        <w:ind w:right="140" w:firstLine="656"/>
        <w:spacing w:after="0" w:line="275" w:lineRule="auto"/>
        <w:tabs>
          <w:tab w:leader="none" w:pos="1104" w:val="left"/>
        </w:tabs>
        <w:numPr>
          <w:ilvl w:val="1"/>
          <w:numId w:val="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Eligible Award Recipients. </w:t>
      </w:r>
      <w:r>
        <w:rPr>
          <w:rFonts w:ascii="Times New Roman" w:cs="Times New Roman" w:eastAsia="Times New Roman" w:hAnsi="Times New Roman"/>
          <w:sz w:val="22"/>
          <w:szCs w:val="22"/>
          <w:color w:val="auto"/>
        </w:rPr>
        <w:t>Employees, Directors and Consultants who hold Legacy Awards are eligible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in respect of Legacy Awards in accordance with the terms of the Distribution and Merger Documentation.</w:t>
      </w:r>
    </w:p>
    <w:p>
      <w:pPr>
        <w:spacing w:after="0" w:line="108" w:lineRule="exact"/>
        <w:rPr>
          <w:rFonts w:ascii="Times New Roman" w:cs="Times New Roman" w:eastAsia="Times New Roman" w:hAnsi="Times New Roman"/>
          <w:sz w:val="22"/>
          <w:szCs w:val="22"/>
          <w:b w:val="1"/>
          <w:bCs w:val="1"/>
          <w:color w:val="010000"/>
        </w:rPr>
      </w:pPr>
    </w:p>
    <w:p>
      <w:pPr>
        <w:ind w:right="700" w:firstLine="656"/>
        <w:spacing w:after="0" w:line="275" w:lineRule="auto"/>
        <w:tabs>
          <w:tab w:leader="none" w:pos="1128" w:val="left"/>
        </w:tabs>
        <w:numPr>
          <w:ilvl w:val="1"/>
          <w:numId w:val="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Available Awards. </w:t>
      </w:r>
      <w:r>
        <w:rPr>
          <w:rFonts w:ascii="Times New Roman" w:cs="Times New Roman" w:eastAsia="Times New Roman" w:hAnsi="Times New Roman"/>
          <w:sz w:val="22"/>
          <w:szCs w:val="22"/>
          <w:color w:val="auto"/>
        </w:rPr>
        <w:t>The Plan provides for the grant of the following Awards in respect of Legacy Awards: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Share Options, (ii) Nonstatutory Share Options, and (iii) Restricted Share Unit Awards.</w:t>
      </w:r>
    </w:p>
    <w:p>
      <w:pPr>
        <w:spacing w:after="0" w:line="95" w:lineRule="exact"/>
        <w:rPr>
          <w:rFonts w:ascii="Times New Roman" w:cs="Times New Roman" w:eastAsia="Times New Roman" w:hAnsi="Times New Roman"/>
          <w:sz w:val="22"/>
          <w:szCs w:val="22"/>
          <w:b w:val="1"/>
          <w:bCs w:val="1"/>
          <w:color w:val="010000"/>
        </w:rPr>
      </w:pPr>
    </w:p>
    <w:p>
      <w:pPr>
        <w:ind w:left="380" w:hanging="372"/>
        <w:spacing w:after="0"/>
        <w:tabs>
          <w:tab w:leader="none" w:pos="3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THE PLAN.</w:t>
      </w:r>
    </w:p>
    <w:p>
      <w:pPr>
        <w:spacing w:after="0" w:line="170" w:lineRule="exact"/>
        <w:rPr>
          <w:sz w:val="20"/>
          <w:szCs w:val="20"/>
          <w:color w:val="auto"/>
        </w:rPr>
      </w:pPr>
    </w:p>
    <w:p>
      <w:pPr>
        <w:jc w:val="both"/>
        <w:ind w:right="380" w:firstLine="648"/>
        <w:spacing w:after="0" w:line="230" w:lineRule="auto"/>
        <w:rPr>
          <w:sz w:val="20"/>
          <w:szCs w:val="20"/>
          <w:color w:val="auto"/>
        </w:rPr>
      </w:pPr>
      <w:r>
        <w:rPr>
          <w:rFonts w:ascii="Times New Roman" w:cs="Times New Roman" w:eastAsia="Times New Roman" w:hAnsi="Times New Roman"/>
          <w:sz w:val="22"/>
          <w:szCs w:val="22"/>
          <w:color w:val="auto"/>
        </w:rPr>
        <w:t>Subject to adjustment as permitted under the terms of the Plan, the aggregate number of Common Shares that may be issued pursuant to Awards will not exceed [4,984,680]</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Common Shares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 which number is equal to the number of Common Shares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5"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equal the number of shares underlying SpinCo awards as of immediately following the Distribution.</w:t>
      </w:r>
    </w:p>
    <w:p>
      <w:pPr>
        <w:sectPr>
          <w:pgSz w:w="11900" w:h="16838" w:orient="portrait"/>
          <w:cols w:equalWidth="0" w:num="1">
            <w:col w:w="11240"/>
          </w:cols>
          <w:pgMar w:left="320" w:top="104" w:right="339" w:bottom="1440" w:gutter="0" w:footer="0" w:header="0"/>
        </w:sectPr>
      </w:pPr>
    </w:p>
    <w:bookmarkStart w:id="6" w:name="page7"/>
    <w:bookmarkEnd w:id="6"/>
    <w:p>
      <w:pPr>
        <w:ind w:right="280"/>
        <w:spacing w:after="0" w:line="271" w:lineRule="auto"/>
        <w:rPr>
          <w:sz w:val="20"/>
          <w:szCs w:val="20"/>
          <w:color w:val="auto"/>
        </w:rPr>
      </w:pPr>
      <w:r>
        <w:rPr>
          <w:rFonts w:ascii="Times New Roman" w:cs="Times New Roman" w:eastAsia="Times New Roman" w:hAnsi="Times New Roman"/>
          <w:sz w:val="22"/>
          <w:szCs w:val="22"/>
          <w:color w:val="auto"/>
        </w:rPr>
        <w:t>to Incentive Share Options, Nonstatutory Share Options and Restricted Share Unit Awards issued in respect of Legacy Awards pursuant to the Distribution and Merger Documentation.</w:t>
      </w:r>
    </w:p>
    <w:p>
      <w:pPr>
        <w:spacing w:after="0" w:line="10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TERM; EARLIER TERMINATION OR SUSPENSION OF THE PLAN.</w:t>
      </w:r>
    </w:p>
    <w:p>
      <w:pPr>
        <w:spacing w:after="0" w:line="183" w:lineRule="exact"/>
        <w:rPr>
          <w:rFonts w:ascii="Times New Roman" w:cs="Times New Roman" w:eastAsia="Times New Roman" w:hAnsi="Times New Roman"/>
          <w:sz w:val="22"/>
          <w:szCs w:val="22"/>
          <w:b w:val="1"/>
          <w:bCs w:val="1"/>
          <w:color w:val="auto"/>
        </w:rPr>
      </w:pPr>
    </w:p>
    <w:p>
      <w:pPr>
        <w:ind w:right="80" w:firstLine="656"/>
        <w:spacing w:after="0" w:line="252" w:lineRule="auto"/>
        <w:tabs>
          <w:tab w:leader="none" w:pos="1116" w:val="left"/>
        </w:tabs>
        <w:numPr>
          <w:ilvl w:val="1"/>
          <w:numId w:val="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The Board may suspend or terminate the Plan at any time; provided, however, that the Plan will automatically terminate following the settlement in Common Shares of the last outstanding Incentive Share Option, Nonstatutory Share Option or Restricted Share Unit Award issued pursuant to and in accordance with the terms of the Distribution and Merger Documentation.</w:t>
      </w:r>
    </w:p>
    <w:p>
      <w:pPr>
        <w:spacing w:after="0" w:line="125" w:lineRule="exact"/>
        <w:rPr>
          <w:rFonts w:ascii="Times New Roman" w:cs="Times New Roman" w:eastAsia="Times New Roman" w:hAnsi="Times New Roman"/>
          <w:sz w:val="22"/>
          <w:szCs w:val="22"/>
          <w:b w:val="1"/>
          <w:bCs w:val="1"/>
          <w:color w:val="010000"/>
        </w:rPr>
      </w:pPr>
    </w:p>
    <w:p>
      <w:pPr>
        <w:ind w:right="80" w:firstLine="656"/>
        <w:spacing w:after="0" w:line="253" w:lineRule="auto"/>
        <w:tabs>
          <w:tab w:leader="none" w:pos="1128" w:val="left"/>
        </w:tabs>
        <w:numPr>
          <w:ilvl w:val="1"/>
          <w:numId w:val="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No Incentive Share Options may be granted after the tenth anniversary of the earlier of (i) the Adoption Date, or (ii) the date the Plan is approved by the shareholders of the Company. No Awards may be granted under the Plan while the Plan is suspended or after it is terminated. Suspension or termination of the Plan will not impair rights and obligations under any Award granted while the Plan is in effect, except with the written consent of the affected Participant or as otherwise permitted in the Plan.</w:t>
      </w:r>
    </w:p>
    <w:p>
      <w:pPr>
        <w:spacing w:after="0" w:line="120" w:lineRule="exact"/>
        <w:rPr>
          <w:rFonts w:ascii="Times New Roman" w:cs="Times New Roman" w:eastAsia="Times New Roman" w:hAnsi="Times New Roman"/>
          <w:sz w:val="22"/>
          <w:szCs w:val="22"/>
          <w:b w:val="1"/>
          <w:bCs w:val="1"/>
          <w:color w:val="010000"/>
        </w:rPr>
      </w:pPr>
    </w:p>
    <w:p>
      <w:pPr>
        <w:ind w:left="380" w:hanging="372"/>
        <w:spacing w:after="0"/>
        <w:tabs>
          <w:tab w:leader="none" w:pos="38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p>
    <w:p>
      <w:pPr>
        <w:spacing w:after="0" w:line="170"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22"/>
          <w:szCs w:val="22"/>
          <w:color w:val="auto"/>
        </w:rPr>
        <w:t>The law of the State of Delaware will govern all questions concerning the construction, validity and interpretation of the Plan, without regard to that state’s conflict of laws rules.</w:t>
      </w:r>
    </w:p>
    <w:p>
      <w:pPr>
        <w:spacing w:after="0" w:line="86"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BY REFERENCE TO 2017 PLAN.</w:t>
      </w:r>
    </w:p>
    <w:p>
      <w:pPr>
        <w:spacing w:after="0" w:line="1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The terms of the 2017 Plan are incorporated herein by reference, excluding Section 1 (</w:t>
      </w: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Section 3 (</w:t>
      </w:r>
      <w:r>
        <w:rPr>
          <w:rFonts w:ascii="Times New Roman" w:cs="Times New Roman" w:eastAsia="Times New Roman" w:hAnsi="Times New Roman"/>
          <w:sz w:val="22"/>
          <w:szCs w:val="22"/>
          <w:i w:val="1"/>
          <w:iCs w:val="1"/>
          <w:color w:val="auto"/>
        </w:rPr>
        <w:t>Shares 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the Plan</w:t>
      </w:r>
      <w:r>
        <w:rPr>
          <w:rFonts w:ascii="Times New Roman" w:cs="Times New Roman" w:eastAsia="Times New Roman" w:hAnsi="Times New Roman"/>
          <w:sz w:val="22"/>
          <w:szCs w:val="22"/>
          <w:color w:val="auto"/>
        </w:rPr>
        <w:t>), Section 4 (</w:t>
      </w:r>
      <w:r>
        <w:rPr>
          <w:rFonts w:ascii="Times New Roman" w:cs="Times New Roman" w:eastAsia="Times New Roman" w:hAnsi="Times New Roman"/>
          <w:sz w:val="22"/>
          <w:szCs w:val="22"/>
          <w:i w:val="1"/>
          <w:iCs w:val="1"/>
          <w:color w:val="auto"/>
        </w:rPr>
        <w:t>Choice of Law</w:t>
      </w:r>
      <w:r>
        <w:rPr>
          <w:rFonts w:ascii="Times New Roman" w:cs="Times New Roman" w:eastAsia="Times New Roman" w:hAnsi="Times New Roman"/>
          <w:sz w:val="22"/>
          <w:szCs w:val="22"/>
          <w:color w:val="auto"/>
        </w:rPr>
        <w:t>) and Section 10 (</w:t>
      </w:r>
      <w:r>
        <w:rPr>
          <w:rFonts w:ascii="Times New Roman" w:cs="Times New Roman" w:eastAsia="Times New Roman" w:hAnsi="Times New Roman"/>
          <w:sz w:val="22"/>
          <w:szCs w:val="22"/>
          <w:i w:val="1"/>
          <w:iCs w:val="1"/>
          <w:color w:val="auto"/>
        </w:rPr>
        <w:t>Plan Term; Earlier Termination or Suspension of the Plan</w:t>
      </w:r>
      <w:r>
        <w:rPr>
          <w:rFonts w:ascii="Times New Roman" w:cs="Times New Roman" w:eastAsia="Times New Roman" w:hAnsi="Times New Roman"/>
          <w:sz w:val="22"/>
          <w:szCs w:val="22"/>
          <w:color w:val="auto"/>
        </w:rPr>
        <w:t>). Capitalized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used but not defined herein shall have the meaning ascribed to such terms in the 2017 Plan; provided, however that all references to the “Company” in the 2017 Plan shall be to the Company as defined in the Plan and with such other interpretive modifications as are necessary to preserve the intent and meaning of such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BIOHAVEN PHARMACEUTICAL HOLDING COMPANY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BIOHAVEN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CHURCH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HAVEN, CT 06510</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l</w:t>
      </w:r>
      <w:r>
        <w:rPr>
          <w:rFonts w:ascii="Times New Roman" w:cs="Times New Roman" w:eastAsia="Times New Roman" w:hAnsi="Times New Roman"/>
          <w:sz w:val="18"/>
          <w:szCs w:val="18"/>
          <w:color w:val="auto"/>
        </w:rPr>
        <w:t>],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7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 am pleased to report that the previously announced spin-off (which we refer to as the “Spin-Off”) by Biohaven Pharmaceutical Holding Company Ltd., which we refer to as “RemainCo,” of its Biohaven Ltd. subsidiary is expected to become effective early in the fourth quarter of 2022, subject to the satisfaction or waiver of the conditions described in this information statement. Biohaven Ltd., which we refer to as “SpinCo,” is a BVI business company limited by shares incorporated under the laws of the British Virgin Islands (“BVI”). After completion of the Spin-Off, SpinCo's initial clinical stage development programs will be focused on multiple novel mechanistic platforms including Kv7 ion channel activators, glutamate modulation, myeloperoxidase (which we refer to as “MPO”) inhibition and myostatin inhibition. In addition to these clinical stage assets, the company will also own several preclinical product candidates and certain corporate infrastructure currently owned by RemainCo, through a series of internal restructuring transactions to be effected by RemainCo prior to the distribution of SpinCo common shares (which we refer to as “Distribution”), as described in this information statement. SpinCo’s common shares, no par value, which we refer to as “common shares” will be listed on the New York Stock Exchange under the symbol “BHVN.” As described in this information statement, the Distribution is subject to the satisfaction or waiver by RemainCo and SpinCo of certain conditions, including fulfillment or waiver of the conditions precedent in the Agreement and Plan of Merger, dated as of May 9, 2022, (which we refer to as the “Merger Agreement”) by and among RemainCo, Pfizer Inc. (which we refer to as “Pfizer”) and a wholly owned subsidiary of Pfizer (which we refer to as “Merger Sub”) and in the Separation and Distribution Agreement, dated as of May 9, 2022 (which we refer to as the “Distribution Agreement”), by and between SpinCo and RemainCo. The Merger Agreement provides for the acquisition by Pfizer of RemainCo through the merger of Merger Sub with and into RemainCo (which we refer to as the “Merger”).</w:t>
      </w:r>
    </w:p>
    <w:p>
      <w:pPr>
        <w:spacing w:after="0" w:line="14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Holders of record of RemainCo’s common shares as of the close of business, New York City time, on September 26, 2022, which will be the record date, will receive one SpinCo common share for every two RemainCo common shares held. No action is required on your part to receive your SpinCo common shares. You will not be required either to pay anything for the new shares or to surrender any RemainCo common shares.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 fractional SpinCo common shares will be issued. If you otherwise would be entitled to a fractional share you will receive a check for the cash value thereof, which generally will be taxable to you. In due course, you will be provided with information to enable you to compute your tax bases in both RemainCo and SpinCo common shares.</w:t>
      </w:r>
    </w:p>
    <w:p>
      <w:pPr>
        <w:spacing w:after="0" w:line="12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enclosed information statement describes the Distribution and contains important information about SpinCo, including its financial statements. I suggest that you read it carefully. For more information on the Merger, see RemainCo’s Definitive Proxy Statement on Schedule 14A filed with the Securities and Exchange Commission (File No. 001-38080). If you have any questions regarding the Distribution, please contact RemainCo’s transfer agent, American Stock Transfer &amp; Trust Company, LLC, at (800) 937-5449.</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Vlad Coric, M.D.</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Biohaven Pharmaceutical Holding Company Ltd.</w:t>
      </w:r>
    </w:p>
    <w:p>
      <w:pPr>
        <w:sectPr>
          <w:pgSz w:w="11900" w:h="16838" w:orient="portrait"/>
          <w:cols w:equalWidth="0" w:num="1">
            <w:col w:w="11240"/>
          </w:cols>
          <w:pgMar w:left="320" w:top="117" w:right="339" w:bottom="1440" w:gutter="0" w:footer="0" w:header="0"/>
        </w:sectPr>
      </w:pPr>
    </w:p>
    <w:bookmarkStart w:id="8" w:name="page9"/>
    <w:bookmarkEnd w:id="8"/>
    <w:p>
      <w:pPr>
        <w:ind w:right="180"/>
        <w:spacing w:after="0" w:line="286" w:lineRule="auto"/>
        <w:rPr>
          <w:sz w:val="20"/>
          <w:szCs w:val="20"/>
          <w:color w:val="auto"/>
        </w:rPr>
      </w:pPr>
      <w:r>
        <w:rPr>
          <w:rFonts w:ascii="Times New Roman" w:cs="Times New Roman" w:eastAsia="Times New Roman" w:hAnsi="Times New Roman"/>
          <w:sz w:val="18"/>
          <w:szCs w:val="18"/>
          <w:b w:val="1"/>
          <w:bCs w:val="1"/>
          <w:color w:val="F1665F"/>
        </w:rPr>
        <w:t>Information contained herein is subject to completion or amendment. A Registration Statement on Form 10 relating to these securities has been filed with the U.S. Securities and Exchange Commission.</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1665F"/>
        </w:rPr>
        <w:t>PRELIMINARY INFORMATION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1665F"/>
        </w:rPr>
        <w:t>SUBJECT TO COMPLETION, DATED SEPTEMBER 20, 2022</w:t>
      </w:r>
    </w:p>
    <w:p>
      <w:pPr>
        <w:spacing w:after="0" w:line="20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Distribution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 par value</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information statement is being furnished in connection with the distribution (the “Distribution”) by Biohaven Pharmaceutical Holding Company Ltd. (“RemainCo”) to holders of its common shares of all the outstanding common shares of Biohaven Ltd. (“we,” “us,” “our,” “SpinCo,” or the “Company”). Prior to such Distribution, we will enter into a series of internal restructuring transactions (the “Separation”) with RemainCo, pursuant to which we will own the Kv7 ion channel activators, glutamate modulation, myeloperoxidase (“MPO”) inhibition and myostatin inhibition platforms, preclinical product candidates, and certain corporate infrastructure currently owned by RemainCo (the “Biohaven Research Business”). As described in this information statement, the Spin-Off is subject to the satisfaction or waiver by RemainCo and SpinCo of certain conditions, including fulfillment or waiver of the conditions precedent included in the Agreement and Plan of Merger, dated as of May 9, 2022, the (“Merger Agreement”) by and among RemainCo, Pfizer Inc. (“Pfizer”) and a wholly owned subsidiary of Pfizer (“Merger Sub”) and the Separation and Distribution Agreement, dated as of May 9, 2022 (which we refer to as the “Distribution Agreement”) by and between SpinCo and RemainCo. The Merger Agreement provides for the acquisition by Pfizer of RemainCo (the “Merger”), which will be accomplished either: (a) if the Merger occurs on or before December 30, 2022, through the merger of Merger Sub with and into RemainCo, with RemainCo continuing as the surviving company (the “Reverse Triangular Merger”), or (b) if the Merger occurs after December 30, 2022, then, at Pfizer’s discretion, either (i) through the Reverse Triangular Merger or (ii) through the merger of RemainCo with and into Merger Sub, with Merger Sub continuing as the surviving company.</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common shares will be distributed to holders of RemainCo’s common shares of record as of the close of business, New York City time, on September 26, 2022, which will be the record date. Each such holder will receive one common share of SpinCo for every two RemainCo common shares held on the record date. We anticipate that the Distribution will become effective early in the fourth quarter of 2022, subject to the satisfaction or waiver of the conditions included in the Merger Agreement and the Distribution Agreement. For RemainCo shareholders who own common shares in registered form, the transfer agent will credit their SpinCo common shares to book entry accounts established to hold their RemainCo common shares. Our distribution agent will send these shareholders a statement reflecting their SpinCo common share ownership shortly after the distribution date. For shareholders who own RemainCo common shares through a broker or other nominee, their SpinCo common shares will be credited to their accounts by the broker or other nominee. Shareholders will receive cash in lieu of fractional shares. The Distribution will be taxable. See “The Separation and Distribution—Certain U.S. Federal Income Tax Consequences.”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 shareholder approval of the Distribution is required or sought, except in connection with RemainCo’s Definitive Proxy Statement on Schedule 14A filed with the Securities and Exchange Commission (File No. 001-38080). We are not asking you for any other proxy, and you are requested not to send us any additional proxy. RemainCo shareholders will not be required to pay for our common shares to be received by them in the Distribution, or to surrender or to exchange RemainCo common shares in order to receive our common shares, or to take any other action in connection with the Distribution. There is currently no trading market for our common shares. We will apply to list our common shares on the New York Stock Exchange (“NYSE”) under the symbol “BHVN.”</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IN REVIEWING THIS INFORMATION STATEMENT, YOU SHOULD CAREFULLY CONSIDER THE MATTERS DESCRIBED UNDER THE CAPTION “RISK FACTORS” BEGINNING ON PAGE </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 SMALLER REPORTING COMPANY AND WE CANNOT BE CERTAIN IF THE REDUCED REPORTING REQUIREMENTS APPLICABLE TO EMERGING GROWTH COMPANIES AND SMALLER</w:t>
      </w:r>
    </w:p>
    <w:p>
      <w:pPr>
        <w:sectPr>
          <w:pgSz w:w="11900" w:h="16838" w:orient="portrait"/>
          <w:cols w:equalWidth="0" w:num="1">
            <w:col w:w="11200"/>
          </w:cols>
          <w:pgMar w:left="320" w:top="1197" w:right="37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REPORTING COMPANIES WILL MAKE OUR COMMON SHARES LESS ATTRACTIVE TO INVESTORS. REFER TO “RISK FACTORS—RISKS RELATED TO OWNERSHIP OF OUR COMMON SHARES.”</w:t>
      </w:r>
    </w:p>
    <w:p>
      <w:pPr>
        <w:spacing w:after="0" w:line="108"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140335</wp:posOffset>
            </wp:positionV>
            <wp:extent cx="2031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131445</wp:posOffset>
            </wp:positionV>
            <wp:extent cx="2031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RemainCo shareholders with inquiries related to the Distribution should contact RemainCo’s transfer agent, American Stock Transfer &amp; Trust Company, LLC, at (800) 937-5449.</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date of this information statement is [</w:t>
      </w:r>
      <w:r>
        <w:rPr>
          <w:rFonts w:ascii="Arial" w:cs="Arial" w:eastAsia="Arial" w:hAnsi="Arial"/>
          <w:sz w:val="18"/>
          <w:szCs w:val="18"/>
          <w:color w:val="auto"/>
        </w:rPr>
        <w:t>l</w:t>
      </w:r>
      <w:r>
        <w:rPr>
          <w:rFonts w:ascii="Times New Roman" w:cs="Times New Roman" w:eastAsia="Times New Roman" w:hAnsi="Times New Roman"/>
          <w:sz w:val="18"/>
          <w:szCs w:val="18"/>
          <w:color w:val="auto"/>
        </w:rPr>
        <w:t>], 2022.</w:t>
      </w:r>
    </w:p>
    <w:p>
      <w:pPr>
        <w:sectPr>
          <w:pgSz w:w="11900" w:h="16838" w:orient="portrait"/>
          <w:cols w:equalWidth="0" w:num="1">
            <w:col w:w="11100"/>
          </w:cols>
          <w:pgMar w:left="320" w:top="1201" w:right="4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20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8"/>
              </w:rPr>
              <w:t>Presentation of Information</w:t>
            </w:r>
          </w:p>
        </w:tc>
        <w:tc>
          <w:tcPr>
            <w:tcW w:w="8400" w:type="dxa"/>
            <w:vAlign w:val="bottom"/>
            <w:gridSpan w:val="22"/>
            <w:vMerge w:val="restart"/>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0" w:type="dxa"/>
            <w:vAlign w:val="bottom"/>
            <w:gridSpan w:val="13"/>
            <w:vMerge w:val="continue"/>
          </w:tcPr>
          <w:p>
            <w:pPr>
              <w:spacing w:after="0"/>
              <w:rPr>
                <w:sz w:val="15"/>
                <w:szCs w:val="15"/>
                <w:color w:val="auto"/>
              </w:rPr>
            </w:pPr>
          </w:p>
        </w:tc>
        <w:tc>
          <w:tcPr>
            <w:tcW w:w="8400" w:type="dxa"/>
            <w:vAlign w:val="bottom"/>
            <w:gridSpan w:val="22"/>
            <w:vMerge w:val="continue"/>
          </w:tcPr>
          <w:p>
            <w:pPr>
              <w:spacing w:after="0"/>
              <w:rPr>
                <w:sz w:val="15"/>
                <w:szCs w:val="15"/>
                <w:color w:val="auto"/>
              </w:rPr>
            </w:pPr>
          </w:p>
        </w:tc>
        <w:tc>
          <w:tcPr>
            <w:tcW w:w="460" w:type="dxa"/>
            <w:vAlign w:val="bottom"/>
            <w:gridSpan w:val="2"/>
          </w:tcPr>
          <w:p>
            <w:pPr>
              <w:jc w:val="center"/>
              <w:ind w:left="291"/>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QUESTIONS AND ANSWERS ABOUT THE DISTRIBUTION</w:t>
            </w: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6"/>
              </w:rPr>
              <w:t>INFORMATION STATEMENT SUMMARY</w:t>
            </w:r>
          </w:p>
        </w:tc>
        <w:tc>
          <w:tcPr>
            <w:tcW w:w="1440" w:type="dxa"/>
            <w:vAlign w:val="bottom"/>
            <w:gridSpan w:val="9"/>
          </w:tcPr>
          <w:p>
            <w:pPr>
              <w:spacing w:after="0"/>
              <w:rPr>
                <w:sz w:val="18"/>
                <w:szCs w:val="18"/>
                <w:color w:val="auto"/>
              </w:rPr>
            </w:pPr>
          </w:p>
        </w:tc>
        <w:tc>
          <w:tcPr>
            <w:tcW w:w="5700" w:type="dxa"/>
            <w:vAlign w:val="bottom"/>
            <w:gridSpan w:val="6"/>
          </w:tcPr>
          <w:p>
            <w:pPr>
              <w:spacing w:after="0"/>
              <w:rPr>
                <w:sz w:val="18"/>
                <w:szCs w:val="18"/>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9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Company Overview</w:t>
            </w:r>
          </w:p>
        </w:tc>
        <w:tc>
          <w:tcPr>
            <w:tcW w:w="7140" w:type="dxa"/>
            <w:vAlign w:val="bottom"/>
            <w:gridSpan w:val="15"/>
          </w:tcPr>
          <w:p>
            <w:pPr>
              <w:spacing w:after="0"/>
              <w:rPr>
                <w:sz w:val="18"/>
                <w:szCs w:val="18"/>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6"/>
              </w:rPr>
              <w:t>Product Candidates</w:t>
            </w:r>
          </w:p>
        </w:tc>
        <w:tc>
          <w:tcPr>
            <w:tcW w:w="8660" w:type="dxa"/>
            <w:vAlign w:val="bottom"/>
            <w:gridSpan w:val="24"/>
          </w:tcPr>
          <w:p>
            <w:pPr>
              <w:spacing w:after="0"/>
              <w:rPr>
                <w:sz w:val="18"/>
                <w:szCs w:val="18"/>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7"/>
              </w:rPr>
              <w:t>Our Strategy</w:t>
            </w:r>
          </w:p>
        </w:tc>
        <w:tc>
          <w:tcPr>
            <w:tcW w:w="460" w:type="dxa"/>
            <w:vAlign w:val="bottom"/>
            <w:gridSpan w:val="5"/>
          </w:tcPr>
          <w:p>
            <w:pPr>
              <w:spacing w:after="0"/>
              <w:rPr>
                <w:sz w:val="18"/>
                <w:szCs w:val="18"/>
                <w:color w:val="auto"/>
              </w:rPr>
            </w:pPr>
          </w:p>
        </w:tc>
        <w:tc>
          <w:tcPr>
            <w:tcW w:w="8660" w:type="dxa"/>
            <w:vAlign w:val="bottom"/>
            <w:gridSpan w:val="24"/>
          </w:tcPr>
          <w:p>
            <w:pPr>
              <w:spacing w:after="0"/>
              <w:rPr>
                <w:sz w:val="18"/>
                <w:szCs w:val="18"/>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8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8"/>
              </w:rPr>
              <w:t>Summary of Risk Factors</w:t>
            </w:r>
          </w:p>
        </w:tc>
        <w:tc>
          <w:tcPr>
            <w:tcW w:w="8220" w:type="dxa"/>
            <w:vAlign w:val="bottom"/>
            <w:gridSpan w:val="20"/>
          </w:tcPr>
          <w:p>
            <w:pPr>
              <w:spacing w:after="0"/>
              <w:rPr>
                <w:sz w:val="18"/>
                <w:szCs w:val="18"/>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Company Information</w:t>
            </w:r>
          </w:p>
        </w:tc>
        <w:tc>
          <w:tcPr>
            <w:tcW w:w="180" w:type="dxa"/>
            <w:vAlign w:val="bottom"/>
            <w:gridSpan w:val="2"/>
          </w:tcPr>
          <w:p>
            <w:pPr>
              <w:spacing w:after="0"/>
              <w:rPr>
                <w:sz w:val="18"/>
                <w:szCs w:val="18"/>
                <w:color w:val="auto"/>
              </w:rPr>
            </w:pPr>
          </w:p>
        </w:tc>
        <w:tc>
          <w:tcPr>
            <w:tcW w:w="8220" w:type="dxa"/>
            <w:vAlign w:val="bottom"/>
            <w:gridSpan w:val="2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Implications of Being an Emerging Growth Company</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820" w:type="dxa"/>
            <w:vAlign w:val="bottom"/>
            <w:tcBorders>
              <w:top w:val="single" w:sz="8" w:color="0000FF"/>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Implications of Being a Smaller Reporting Company</w:t>
            </w:r>
          </w:p>
        </w:tc>
        <w:tc>
          <w:tcPr>
            <w:tcW w:w="60" w:type="dxa"/>
            <w:vAlign w:val="bottom"/>
            <w:tcBorders>
              <w:top w:val="single" w:sz="8" w:color="0000FF"/>
            </w:tcBorders>
          </w:tcPr>
          <w:p>
            <w:pPr>
              <w:spacing w:after="0"/>
              <w:rPr>
                <w:sz w:val="18"/>
                <w:szCs w:val="18"/>
                <w:color w:val="auto"/>
              </w:rPr>
            </w:pPr>
          </w:p>
        </w:tc>
        <w:tc>
          <w:tcPr>
            <w:tcW w:w="620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22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Summary of the Separation and Distribution</w:t>
            </w:r>
          </w:p>
        </w:tc>
        <w:tc>
          <w:tcPr>
            <w:tcW w:w="686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SUMMARY HISTORICAL AND UNAUDITED PRO FORMA COMBINED FINANCIAL DATA</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5900" w:type="dxa"/>
            <w:vAlign w:val="bottom"/>
            <w:tcBorders>
              <w:top w:val="single" w:sz="8" w:color="0000FF"/>
            </w:tcBorders>
            <w:gridSpan w:val="28"/>
          </w:tcPr>
          <w:p>
            <w:pPr>
              <w:spacing w:after="0"/>
              <w:rPr>
                <w:sz w:val="18"/>
                <w:szCs w:val="18"/>
                <w:color w:val="auto"/>
              </w:rPr>
            </w:pPr>
          </w:p>
        </w:tc>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Risks Related to Our Financial Position and Need for Additional Capital</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440" w:type="dxa"/>
            <w:vAlign w:val="bottom"/>
            <w:tcBorders>
              <w:top w:val="single" w:sz="8" w:color="0000FF"/>
              <w:bottom w:val="single" w:sz="8" w:color="0000FF"/>
            </w:tcBorders>
            <w:gridSpan w:val="29"/>
          </w:tcPr>
          <w:p>
            <w:pPr>
              <w:ind w:left="20"/>
              <w:spacing w:after="0"/>
              <w:rPr>
                <w:sz w:val="20"/>
                <w:szCs w:val="20"/>
                <w:color w:val="auto"/>
              </w:rPr>
            </w:pPr>
            <w:r>
              <w:rPr>
                <w:rFonts w:ascii="Times New Roman" w:cs="Times New Roman" w:eastAsia="Times New Roman" w:hAnsi="Times New Roman"/>
                <w:sz w:val="18"/>
                <w:szCs w:val="18"/>
                <w:color w:val="0000FF"/>
                <w:w w:val="99"/>
              </w:rPr>
              <w:t>Risks Related to the Development of Our Product Candidates</w:t>
            </w:r>
          </w:p>
        </w:tc>
        <w:tc>
          <w:tcPr>
            <w:tcW w:w="780" w:type="dxa"/>
            <w:vAlign w:val="bottom"/>
            <w:tcBorders>
              <w:top w:val="single" w:sz="8" w:color="0000FF"/>
            </w:tcBorders>
            <w:gridSpan w:val="2"/>
          </w:tcPr>
          <w:p>
            <w:pPr>
              <w:spacing w:after="0"/>
              <w:rPr>
                <w:sz w:val="18"/>
                <w:szCs w:val="18"/>
                <w:color w:val="auto"/>
              </w:rPr>
            </w:pPr>
          </w:p>
        </w:tc>
        <w:tc>
          <w:tcPr>
            <w:tcW w:w="486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Risks Related to Commercialization of Our Product Candidates</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660" w:type="dxa"/>
            <w:vAlign w:val="bottom"/>
            <w:tcBorders>
              <w:top w:val="single" w:sz="8" w:color="0000FF"/>
              <w:bottom w:val="single" w:sz="8" w:color="0000FF"/>
            </w:tcBorders>
            <w:gridSpan w:val="24"/>
          </w:tcPr>
          <w:p>
            <w:pPr>
              <w:ind w:left="20"/>
              <w:spacing w:after="0"/>
              <w:rPr>
                <w:sz w:val="20"/>
                <w:szCs w:val="20"/>
                <w:color w:val="auto"/>
              </w:rPr>
            </w:pPr>
            <w:r>
              <w:rPr>
                <w:rFonts w:ascii="Times New Roman" w:cs="Times New Roman" w:eastAsia="Times New Roman" w:hAnsi="Times New Roman"/>
                <w:sz w:val="18"/>
                <w:szCs w:val="18"/>
                <w:color w:val="0000FF"/>
                <w:w w:val="99"/>
              </w:rPr>
              <w:t>Risks Related to Our Dependence on Third Parties</w:t>
            </w:r>
          </w:p>
        </w:tc>
        <w:tc>
          <w:tcPr>
            <w:tcW w:w="920" w:type="dxa"/>
            <w:vAlign w:val="bottom"/>
            <w:tcBorders>
              <w:top w:val="single" w:sz="8" w:color="0000FF"/>
            </w:tcBorders>
            <w:gridSpan w:val="6"/>
          </w:tcPr>
          <w:p>
            <w:pPr>
              <w:spacing w:after="0"/>
              <w:rPr>
                <w:sz w:val="18"/>
                <w:szCs w:val="18"/>
                <w:color w:val="auto"/>
              </w:rPr>
            </w:pPr>
          </w:p>
        </w:tc>
        <w:tc>
          <w:tcPr>
            <w:tcW w:w="550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Risks Related to Regulatory Compliance</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04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Risks Related to Our Intellectual Property</w:t>
            </w:r>
          </w:p>
        </w:tc>
        <w:tc>
          <w:tcPr>
            <w:tcW w:w="704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Risks Related to Our Business Operations, Employee Matters and Managing Growth</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6120" w:type="dxa"/>
            <w:vAlign w:val="bottom"/>
            <w:tcBorders>
              <w:top w:val="single" w:sz="8" w:color="0000FF"/>
            </w:tcBorders>
            <w:gridSpan w:val="32"/>
          </w:tcPr>
          <w:p>
            <w:pPr>
              <w:ind w:left="20"/>
              <w:spacing w:after="0"/>
              <w:rPr>
                <w:sz w:val="20"/>
                <w:szCs w:val="20"/>
                <w:color w:val="auto"/>
              </w:rPr>
            </w:pPr>
            <w:r>
              <w:rPr>
                <w:rFonts w:ascii="Times New Roman" w:cs="Times New Roman" w:eastAsia="Times New Roman" w:hAnsi="Times New Roman"/>
                <w:sz w:val="18"/>
                <w:szCs w:val="18"/>
                <w:color w:val="0000FF"/>
              </w:rPr>
              <w:t>Risks Related to Ownership of Our Common Shares</w:t>
            </w:r>
          </w:p>
        </w:tc>
        <w:tc>
          <w:tcPr>
            <w:tcW w:w="39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780" w:type="dxa"/>
            <w:vAlign w:val="bottom"/>
            <w:tcBorders>
              <w:top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rPr>
              <w:t>Risks Related to the Distribution</w:t>
            </w:r>
          </w:p>
        </w:tc>
        <w:tc>
          <w:tcPr>
            <w:tcW w:w="630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THE SEPARATION AND DISTRIBUTION</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0000FF"/>
            </w:tcBorders>
          </w:tcPr>
          <w:p>
            <w:pPr>
              <w:spacing w:after="0"/>
              <w:rPr>
                <w:sz w:val="18"/>
                <w:szCs w:val="18"/>
                <w:color w:val="auto"/>
              </w:rPr>
            </w:pPr>
          </w:p>
        </w:tc>
        <w:tc>
          <w:tcPr>
            <w:tcW w:w="58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4"/>
              </w:rPr>
              <w:t>General</w:t>
            </w:r>
          </w:p>
        </w:tc>
        <w:tc>
          <w:tcPr>
            <w:tcW w:w="2360" w:type="dxa"/>
            <w:vAlign w:val="bottom"/>
            <w:tcBorders>
              <w:top w:val="single" w:sz="8" w:color="0000FF"/>
            </w:tcBorders>
            <w:gridSpan w:val="17"/>
          </w:tcPr>
          <w:p>
            <w:pPr>
              <w:spacing w:after="0"/>
              <w:rPr>
                <w:sz w:val="18"/>
                <w:szCs w:val="18"/>
                <w:color w:val="auto"/>
              </w:rPr>
            </w:pPr>
          </w:p>
        </w:tc>
        <w:tc>
          <w:tcPr>
            <w:tcW w:w="714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66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8"/>
              </w:rPr>
              <w:t>Manner of Effecting the Distribution</w:t>
            </w:r>
          </w:p>
        </w:tc>
        <w:tc>
          <w:tcPr>
            <w:tcW w:w="7420" w:type="dxa"/>
            <w:vAlign w:val="bottom"/>
            <w:gridSpan w:val="16"/>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Reasons for the Distribution</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92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8"/>
              </w:rPr>
              <w:t>Results of the Distribution</w:t>
            </w:r>
          </w:p>
        </w:tc>
        <w:tc>
          <w:tcPr>
            <w:tcW w:w="120" w:type="dxa"/>
            <w:vAlign w:val="bottom"/>
            <w:tcBorders>
              <w:top w:val="single" w:sz="8" w:color="0000FF"/>
            </w:tcBorders>
          </w:tcPr>
          <w:p>
            <w:pPr>
              <w:spacing w:after="0"/>
              <w:rPr>
                <w:sz w:val="18"/>
                <w:szCs w:val="18"/>
                <w:color w:val="auto"/>
              </w:rPr>
            </w:pPr>
          </w:p>
        </w:tc>
        <w:tc>
          <w:tcPr>
            <w:tcW w:w="8040" w:type="dxa"/>
            <w:vAlign w:val="bottom"/>
            <w:gridSpan w:val="18"/>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The Distribution Agreement</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6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w w:val="98"/>
              </w:rPr>
              <w:t>Certain U.S. Federal Income Tax Consequences</w:t>
            </w:r>
          </w:p>
        </w:tc>
        <w:tc>
          <w:tcPr>
            <w:tcW w:w="66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20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Listing and Trading of Our Common Shares</w:t>
            </w:r>
          </w:p>
        </w:tc>
        <w:tc>
          <w:tcPr>
            <w:tcW w:w="688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Reasons for Furnishing this Information Statement</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11"/>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40" w:type="dxa"/>
            <w:vAlign w:val="bottom"/>
            <w:gridSpan w:val="33"/>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2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Overview</w:t>
            </w:r>
          </w:p>
        </w:tc>
        <w:tc>
          <w:tcPr>
            <w:tcW w:w="9360" w:type="dxa"/>
            <w:vAlign w:val="bottom"/>
            <w:gridSpan w:val="31"/>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42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6"/>
              </w:rPr>
              <w:t>Product Candidates</w:t>
            </w:r>
          </w:p>
        </w:tc>
        <w:tc>
          <w:tcPr>
            <w:tcW w:w="8660" w:type="dxa"/>
            <w:vAlign w:val="bottom"/>
            <w:gridSpan w:val="2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7"/>
              </w:rPr>
              <w:t>Our Kv7 Platform</w:t>
            </w:r>
          </w:p>
        </w:tc>
        <w:tc>
          <w:tcPr>
            <w:tcW w:w="8760" w:type="dxa"/>
            <w:vAlign w:val="bottom"/>
            <w:gridSpan w:val="26"/>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7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Our Glutamate Platform</w:t>
            </w:r>
          </w:p>
        </w:tc>
        <w:tc>
          <w:tcPr>
            <w:tcW w:w="8320" w:type="dxa"/>
            <w:vAlign w:val="bottom"/>
            <w:gridSpan w:val="21"/>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42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7"/>
              </w:rPr>
              <w:t>Our MPO Platform</w:t>
            </w:r>
          </w:p>
        </w:tc>
        <w:tc>
          <w:tcPr>
            <w:tcW w:w="8660" w:type="dxa"/>
            <w:vAlign w:val="bottom"/>
            <w:gridSpan w:val="2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3"/>
              </w:rPr>
              <w:t>Our Myostatin Platform</w:t>
            </w:r>
          </w:p>
        </w:tc>
        <w:tc>
          <w:tcPr>
            <w:tcW w:w="8400" w:type="dxa"/>
            <w:vAlign w:val="bottom"/>
            <w:gridSpan w:val="2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1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7"/>
              </w:rPr>
              <w:t>Biohaven Labs</w:t>
            </w:r>
          </w:p>
        </w:tc>
        <w:tc>
          <w:tcPr>
            <w:tcW w:w="8980" w:type="dxa"/>
            <w:vAlign w:val="bottom"/>
            <w:gridSpan w:val="27"/>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Competition</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0" w:type="dxa"/>
            <w:vAlign w:val="bottom"/>
            <w:gridSpan w:val="2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7"/>
              </w:rPr>
              <w:t>Manufacturing</w:t>
            </w:r>
          </w:p>
        </w:tc>
        <w:tc>
          <w:tcPr>
            <w:tcW w:w="9000" w:type="dxa"/>
            <w:vAlign w:val="bottom"/>
            <w:gridSpan w:val="28"/>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Commercialization</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0" w:type="dxa"/>
            <w:vAlign w:val="bottom"/>
            <w:gridSpan w:val="2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Intellectual Property</w:t>
            </w:r>
          </w:p>
        </w:tc>
        <w:tc>
          <w:tcPr>
            <w:tcW w:w="8400" w:type="dxa"/>
            <w:vAlign w:val="bottom"/>
            <w:gridSpan w:val="2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License Agreements</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gridSpan w:val="11"/>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0" w:type="dxa"/>
            <w:vAlign w:val="bottom"/>
            <w:gridSpan w:val="2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Government Regulation</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25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36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FF"/>
              </w:rPr>
              <w:t>Environmental, Social, Governance, and Human Capital</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114</w:t>
            </w:r>
          </w:p>
        </w:tc>
        <w:tc>
          <w:tcPr>
            <w:tcW w:w="20" w:type="dxa"/>
            <w:vAlign w:val="bottom"/>
          </w:tcPr>
          <w:p>
            <w:pPr>
              <w:spacing w:after="0"/>
              <w:rPr>
                <w:sz w:val="17"/>
                <w:szCs w:val="17"/>
                <w:color w:val="auto"/>
              </w:rPr>
            </w:pPr>
          </w:p>
        </w:tc>
      </w:tr>
      <w:tr>
        <w:trPr>
          <w:trHeight w:val="209"/>
        </w:trPr>
        <w:tc>
          <w:tcPr>
            <w:tcW w:w="320" w:type="dxa"/>
            <w:vAlign w:val="bottom"/>
          </w:tcPr>
          <w:p>
            <w:pPr>
              <w:spacing w:after="0"/>
              <w:rPr>
                <w:sz w:val="18"/>
                <w:szCs w:val="18"/>
                <w:color w:val="auto"/>
              </w:rPr>
            </w:pPr>
          </w:p>
        </w:tc>
        <w:tc>
          <w:tcPr>
            <w:tcW w:w="2060" w:type="dxa"/>
            <w:vAlign w:val="bottom"/>
            <w:tcBorders>
              <w:top w:val="single" w:sz="8" w:color="0000FF"/>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7"/>
              </w:rPr>
              <w:t>Information about Segments</w:t>
            </w:r>
          </w:p>
        </w:tc>
        <w:tc>
          <w:tcPr>
            <w:tcW w:w="2000" w:type="dxa"/>
            <w:vAlign w:val="bottom"/>
            <w:tcBorders>
              <w:top w:val="single" w:sz="8" w:color="0000FF"/>
            </w:tcBorders>
            <w:gridSpan w:val="11"/>
          </w:tcPr>
          <w:p>
            <w:pPr>
              <w:spacing w:after="0"/>
              <w:rPr>
                <w:sz w:val="18"/>
                <w:szCs w:val="18"/>
                <w:color w:val="auto"/>
              </w:rPr>
            </w:pPr>
          </w:p>
        </w:tc>
        <w:tc>
          <w:tcPr>
            <w:tcW w:w="6300" w:type="dxa"/>
            <w:vAlign w:val="bottom"/>
            <w:gridSpan w:val="9"/>
          </w:tcPr>
          <w:p>
            <w:pPr>
              <w:spacing w:after="0"/>
              <w:rPr>
                <w:sz w:val="18"/>
                <w:szCs w:val="18"/>
                <w:color w:val="auto"/>
              </w:rPr>
            </w:pPr>
          </w:p>
        </w:tc>
        <w:tc>
          <w:tcPr>
            <w:tcW w:w="2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115</w:t>
            </w:r>
          </w:p>
        </w:tc>
        <w:tc>
          <w:tcPr>
            <w:tcW w:w="2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6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Corporate Information</w:t>
            </w:r>
          </w:p>
        </w:tc>
        <w:tc>
          <w:tcPr>
            <w:tcW w:w="8700" w:type="dxa"/>
            <w:vAlign w:val="bottom"/>
            <w:gridSpan w:val="25"/>
          </w:tcPr>
          <w:p>
            <w:pPr>
              <w:spacing w:after="0"/>
              <w:rPr>
                <w:sz w:val="18"/>
                <w:szCs w:val="18"/>
                <w:color w:val="auto"/>
              </w:rPr>
            </w:pPr>
          </w:p>
        </w:tc>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115</w:t>
            </w:r>
          </w:p>
        </w:tc>
        <w:tc>
          <w:tcPr>
            <w:tcW w:w="2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Properties</w:t>
            </w:r>
          </w:p>
        </w:tc>
        <w:tc>
          <w:tcPr>
            <w:tcW w:w="9620" w:type="dxa"/>
            <w:vAlign w:val="bottom"/>
            <w:gridSpan w:val="35"/>
          </w:tcPr>
          <w:p>
            <w:pPr>
              <w:spacing w:after="0"/>
              <w:rPr>
                <w:sz w:val="18"/>
                <w:szCs w:val="18"/>
                <w:color w:val="auto"/>
              </w:rPr>
            </w:pPr>
          </w:p>
        </w:tc>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116</w:t>
            </w:r>
          </w:p>
        </w:tc>
        <w:tc>
          <w:tcPr>
            <w:tcW w:w="2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036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116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36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FF"/>
              </w:rPr>
              <w:t>Emerging Growth Company Status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116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58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Smaller Reporting Company Status</w:t>
            </w:r>
          </w:p>
        </w:tc>
        <w:tc>
          <w:tcPr>
            <w:tcW w:w="7780" w:type="dxa"/>
            <w:vAlign w:val="bottom"/>
            <w:gridSpan w:val="15"/>
          </w:tcPr>
          <w:p>
            <w:pPr>
              <w:spacing w:after="0"/>
              <w:rPr>
                <w:sz w:val="18"/>
                <w:szCs w:val="18"/>
                <w:color w:val="auto"/>
              </w:rPr>
            </w:pPr>
          </w:p>
        </w:tc>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117</w:t>
            </w:r>
          </w:p>
        </w:tc>
        <w:tc>
          <w:tcPr>
            <w:tcW w:w="20" w:type="dxa"/>
            <w:vAlign w:val="bottom"/>
          </w:tcPr>
          <w:p>
            <w:pPr>
              <w:spacing w:after="0"/>
              <w:rPr>
                <w:sz w:val="18"/>
                <w:szCs w:val="18"/>
                <w:color w:val="auto"/>
              </w:rPr>
            </w:pPr>
          </w:p>
        </w:tc>
      </w:tr>
      <w:tr>
        <w:trPr>
          <w:trHeight w:val="210"/>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118</w:t>
            </w:r>
          </w:p>
        </w:tc>
        <w:tc>
          <w:tcPr>
            <w:tcW w:w="20" w:type="dxa"/>
            <w:vAlign w:val="bottom"/>
          </w:tcPr>
          <w:p>
            <w:pPr>
              <w:spacing w:after="0"/>
              <w:rPr>
                <w:sz w:val="18"/>
                <w:szCs w:val="18"/>
                <w:color w:val="auto"/>
              </w:rPr>
            </w:pPr>
          </w:p>
        </w:tc>
      </w:tr>
      <w:tr>
        <w:trPr>
          <w:trHeight w:val="210"/>
        </w:trPr>
        <w:tc>
          <w:tcPr>
            <w:tcW w:w="15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CAPITALIZATION</w:t>
            </w:r>
          </w:p>
        </w:tc>
        <w:tc>
          <w:tcPr>
            <w:tcW w:w="9100" w:type="dxa"/>
            <w:vAlign w:val="bottom"/>
            <w:gridSpan w:val="30"/>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119</w:t>
            </w:r>
          </w:p>
        </w:tc>
        <w:tc>
          <w:tcPr>
            <w:tcW w:w="20" w:type="dxa"/>
            <w:vAlign w:val="bottom"/>
          </w:tcPr>
          <w:p>
            <w:pPr>
              <w:spacing w:after="0"/>
              <w:rPr>
                <w:sz w:val="18"/>
                <w:szCs w:val="18"/>
                <w:color w:val="auto"/>
              </w:rPr>
            </w:pPr>
          </w:p>
        </w:tc>
      </w:tr>
      <w:tr>
        <w:trPr>
          <w:trHeight w:val="20"/>
        </w:trPr>
        <w:tc>
          <w:tcPr>
            <w:tcW w:w="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UNAUDITED PRO FORMA COMBINED FINANCIAL INFORMATION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120</w:t>
            </w:r>
          </w:p>
        </w:tc>
      </w:tr>
      <w:tr>
        <w:trPr>
          <w:trHeight w:val="20"/>
        </w:trPr>
        <w:tc>
          <w:tcPr>
            <w:tcW w:w="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9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600" w:type="dxa"/>
            <w:vAlign w:val="bottom"/>
            <w:gridSpan w:val="37"/>
          </w:tcPr>
          <w:p>
            <w:pPr>
              <w:ind w:left="20"/>
              <w:spacing w:after="0"/>
              <w:rPr>
                <w:sz w:val="20"/>
                <w:szCs w:val="20"/>
                <w:color w:val="auto"/>
              </w:rPr>
            </w:pPr>
            <w:r>
              <w:rPr>
                <w:rFonts w:ascii="Times New Roman" w:cs="Times New Roman" w:eastAsia="Times New Roman" w:hAnsi="Times New Roman"/>
                <w:sz w:val="18"/>
                <w:szCs w:val="18"/>
                <w:color w:val="0000FF"/>
              </w:rPr>
              <w:t>Separation from RemainCo</w:t>
            </w:r>
          </w:p>
        </w:tc>
        <w:tc>
          <w:tcPr>
            <w:tcW w:w="17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128</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4"/>
              </w:rPr>
              <w:t>Overview</w:t>
            </w:r>
          </w:p>
        </w:tc>
        <w:tc>
          <w:tcPr>
            <w:tcW w:w="1320" w:type="dxa"/>
            <w:vAlign w:val="bottom"/>
            <w:gridSpan w:val="14"/>
          </w:tcPr>
          <w:p>
            <w:pPr>
              <w:spacing w:after="0"/>
              <w:rPr>
                <w:sz w:val="18"/>
                <w:szCs w:val="18"/>
                <w:color w:val="auto"/>
              </w:rPr>
            </w:pPr>
          </w:p>
        </w:tc>
        <w:tc>
          <w:tcPr>
            <w:tcW w:w="8380" w:type="dxa"/>
            <w:vAlign w:val="bottom"/>
            <w:gridSpan w:val="22"/>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129</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7"/>
              </w:rPr>
              <w:t>Kv7 Platform</w:t>
            </w:r>
          </w:p>
        </w:tc>
        <w:tc>
          <w:tcPr>
            <w:tcW w:w="9360" w:type="dxa"/>
            <w:vAlign w:val="bottom"/>
            <w:gridSpan w:val="33"/>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130</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Glutamate Platform</w:t>
            </w:r>
          </w:p>
        </w:tc>
        <w:tc>
          <w:tcPr>
            <w:tcW w:w="8920" w:type="dxa"/>
            <w:vAlign w:val="bottom"/>
            <w:gridSpan w:val="27"/>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130</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7"/>
              </w:rPr>
              <w:t>MPO Platform</w:t>
            </w:r>
          </w:p>
        </w:tc>
        <w:tc>
          <w:tcPr>
            <w:tcW w:w="360" w:type="dxa"/>
            <w:vAlign w:val="bottom"/>
            <w:gridSpan w:val="5"/>
          </w:tcPr>
          <w:p>
            <w:pPr>
              <w:spacing w:after="0"/>
              <w:rPr>
                <w:sz w:val="18"/>
                <w:szCs w:val="18"/>
                <w:color w:val="auto"/>
              </w:rPr>
            </w:pPr>
          </w:p>
        </w:tc>
        <w:tc>
          <w:tcPr>
            <w:tcW w:w="8920" w:type="dxa"/>
            <w:vAlign w:val="bottom"/>
            <w:gridSpan w:val="27"/>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132</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3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2"/>
              </w:rPr>
              <w:t>Myostatin Platform</w:t>
            </w:r>
          </w:p>
        </w:tc>
        <w:tc>
          <w:tcPr>
            <w:tcW w:w="9000" w:type="dxa"/>
            <w:vAlign w:val="bottom"/>
            <w:gridSpan w:val="28"/>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132</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1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5"/>
              </w:rPr>
              <w:t>Biohaven Labs</w:t>
            </w:r>
          </w:p>
        </w:tc>
        <w:tc>
          <w:tcPr>
            <w:tcW w:w="260" w:type="dxa"/>
            <w:vAlign w:val="bottom"/>
            <w:gridSpan w:val="3"/>
          </w:tcPr>
          <w:p>
            <w:pPr>
              <w:spacing w:after="0"/>
              <w:rPr>
                <w:sz w:val="18"/>
                <w:szCs w:val="18"/>
                <w:color w:val="auto"/>
              </w:rPr>
            </w:pPr>
          </w:p>
        </w:tc>
        <w:tc>
          <w:tcPr>
            <w:tcW w:w="9000" w:type="dxa"/>
            <w:vAlign w:val="bottom"/>
            <w:gridSpan w:val="28"/>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132</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36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FF"/>
              </w:rPr>
              <w:t>Components of the Results of Operations of the Biohaven Research Business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134</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56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Results of Operations</w:t>
            </w:r>
          </w:p>
        </w:tc>
        <w:tc>
          <w:tcPr>
            <w:tcW w:w="4800" w:type="dxa"/>
            <w:vAlign w:val="bottom"/>
            <w:gridSpan w:val="4"/>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137</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3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8020" w:type="dxa"/>
            <w:vAlign w:val="bottom"/>
            <w:gridSpan w:val="19"/>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140</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6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w w:val="99"/>
              </w:rPr>
              <w:t>Critical Accounting Policies and Significant Judgments and Estimates of the Biohaven Research Business</w:t>
            </w:r>
          </w:p>
        </w:tc>
        <w:tc>
          <w:tcPr>
            <w:tcW w:w="2720" w:type="dxa"/>
            <w:vAlign w:val="bottom"/>
            <w:gridSpan w:val="2"/>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143</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6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Recently Issued Accounting Pronouncements</w:t>
            </w:r>
          </w:p>
        </w:tc>
        <w:tc>
          <w:tcPr>
            <w:tcW w:w="2720" w:type="dxa"/>
            <w:vAlign w:val="bottom"/>
            <w:gridSpan w:val="2"/>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144</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1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CORPORATE GOVERNANCE AND MANAGEMENT</w:t>
            </w:r>
          </w:p>
        </w:tc>
        <w:tc>
          <w:tcPr>
            <w:tcW w:w="6560" w:type="dxa"/>
            <w:vAlign w:val="bottom"/>
            <w:gridSpan w:val="10"/>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145</w:t>
            </w:r>
          </w:p>
        </w:tc>
      </w:tr>
      <w:tr>
        <w:trPr>
          <w:trHeight w:val="20"/>
        </w:trPr>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3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8"/>
              </w:rPr>
              <w:t>Directors and Executive Officers</w:t>
            </w:r>
          </w:p>
        </w:tc>
        <w:tc>
          <w:tcPr>
            <w:tcW w:w="1420" w:type="dxa"/>
            <w:vAlign w:val="bottom"/>
            <w:gridSpan w:val="8"/>
          </w:tcPr>
          <w:p>
            <w:pPr>
              <w:spacing w:after="0"/>
              <w:rPr>
                <w:sz w:val="18"/>
                <w:szCs w:val="18"/>
                <w:color w:val="auto"/>
              </w:rPr>
            </w:pPr>
          </w:p>
        </w:tc>
        <w:tc>
          <w:tcPr>
            <w:tcW w:w="6560" w:type="dxa"/>
            <w:vAlign w:val="bottom"/>
            <w:gridSpan w:val="10"/>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145</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3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Executive Officers</w:t>
            </w:r>
          </w:p>
        </w:tc>
        <w:tc>
          <w:tcPr>
            <w:tcW w:w="7980" w:type="dxa"/>
            <w:vAlign w:val="bottom"/>
            <w:gridSpan w:val="18"/>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145</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8"/>
              </w:rPr>
              <w:t>Non-Management Directors</w:t>
            </w:r>
          </w:p>
        </w:tc>
        <w:tc>
          <w:tcPr>
            <w:tcW w:w="8320" w:type="dxa"/>
            <w:vAlign w:val="bottom"/>
            <w:gridSpan w:val="21"/>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146</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Board Composition</w:t>
            </w:r>
          </w:p>
        </w:tc>
        <w:tc>
          <w:tcPr>
            <w:tcW w:w="8320" w:type="dxa"/>
            <w:vAlign w:val="bottom"/>
            <w:gridSpan w:val="21"/>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148</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66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7"/>
              </w:rPr>
              <w:t>Director Independence</w:t>
            </w:r>
          </w:p>
        </w:tc>
        <w:tc>
          <w:tcPr>
            <w:tcW w:w="8700" w:type="dxa"/>
            <w:vAlign w:val="bottom"/>
            <w:gridSpan w:val="25"/>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149</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74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w w:val="99"/>
              </w:rPr>
              <w:t>Committees of the Board of Directors</w:t>
            </w:r>
          </w:p>
        </w:tc>
        <w:tc>
          <w:tcPr>
            <w:tcW w:w="7620" w:type="dxa"/>
            <w:vAlign w:val="bottom"/>
            <w:gridSpan w:val="14"/>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149</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36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FF"/>
              </w:rPr>
              <w:t>Code of Business Conduct and Ethics for Employees, Executive Officers and Directors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150</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4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Compensation Committee Interlocks and Insider Participation</w:t>
            </w:r>
          </w:p>
        </w:tc>
        <w:tc>
          <w:tcPr>
            <w:tcW w:w="1800" w:type="dxa"/>
            <w:vAlign w:val="bottom"/>
            <w:gridSpan w:val="5"/>
          </w:tcPr>
          <w:p>
            <w:pPr>
              <w:spacing w:after="0"/>
              <w:rPr>
                <w:sz w:val="18"/>
                <w:szCs w:val="18"/>
                <w:color w:val="auto"/>
              </w:rPr>
            </w:pPr>
          </w:p>
        </w:tc>
        <w:tc>
          <w:tcPr>
            <w:tcW w:w="4080" w:type="dxa"/>
            <w:vAlign w:val="bottom"/>
            <w:gridSpan w:val="3"/>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151</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84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w w:val="98"/>
              </w:rPr>
              <w:t>Non-Employee Director Compensation</w:t>
            </w:r>
          </w:p>
        </w:tc>
        <w:tc>
          <w:tcPr>
            <w:tcW w:w="1640" w:type="dxa"/>
            <w:vAlign w:val="bottom"/>
            <w:gridSpan w:val="5"/>
          </w:tcPr>
          <w:p>
            <w:pPr>
              <w:spacing w:after="0"/>
              <w:rPr>
                <w:sz w:val="18"/>
                <w:szCs w:val="18"/>
                <w:color w:val="auto"/>
              </w:rPr>
            </w:pPr>
          </w:p>
        </w:tc>
        <w:tc>
          <w:tcPr>
            <w:tcW w:w="5880" w:type="dxa"/>
            <w:vAlign w:val="bottom"/>
            <w:gridSpan w:val="8"/>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151</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152</w:t>
            </w:r>
          </w:p>
        </w:tc>
      </w:tr>
      <w:tr>
        <w:trPr>
          <w:trHeight w:val="20"/>
        </w:trPr>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Introduction</w:t>
            </w:r>
          </w:p>
        </w:tc>
        <w:tc>
          <w:tcPr>
            <w:tcW w:w="1160" w:type="dxa"/>
            <w:vAlign w:val="bottom"/>
            <w:gridSpan w:val="14"/>
          </w:tcPr>
          <w:p>
            <w:pPr>
              <w:spacing w:after="0"/>
              <w:rPr>
                <w:sz w:val="18"/>
                <w:szCs w:val="18"/>
                <w:color w:val="auto"/>
              </w:rPr>
            </w:pPr>
          </w:p>
        </w:tc>
        <w:tc>
          <w:tcPr>
            <w:tcW w:w="8300" w:type="dxa"/>
            <w:vAlign w:val="bottom"/>
            <w:gridSpan w:val="20"/>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152</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98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Limitation of Liability and Indemnification of Officers and Directors</w:t>
            </w:r>
          </w:p>
        </w:tc>
        <w:tc>
          <w:tcPr>
            <w:tcW w:w="5380" w:type="dxa"/>
            <w:vAlign w:val="bottom"/>
            <w:gridSpan w:val="7"/>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160</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98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Rule 10b5-1 Sales Plans</w:t>
            </w:r>
          </w:p>
        </w:tc>
        <w:tc>
          <w:tcPr>
            <w:tcW w:w="5380" w:type="dxa"/>
            <w:vAlign w:val="bottom"/>
            <w:gridSpan w:val="7"/>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161</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5200" w:type="dxa"/>
            <w:vAlign w:val="bottom"/>
            <w:gridSpan w:val="5"/>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162</w:t>
            </w:r>
          </w:p>
        </w:tc>
      </w:tr>
      <w:tr>
        <w:trPr>
          <w:trHeight w:val="20"/>
        </w:trPr>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1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16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Related Person Transaction Policy</w:t>
            </w:r>
          </w:p>
        </w:tc>
        <w:tc>
          <w:tcPr>
            <w:tcW w:w="5200" w:type="dxa"/>
            <w:vAlign w:val="bottom"/>
            <w:gridSpan w:val="5"/>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162</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1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4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6"/>
              </w:rPr>
              <w:t>Certain Related Party Transactions</w:t>
            </w:r>
          </w:p>
        </w:tc>
        <w:tc>
          <w:tcPr>
            <w:tcW w:w="7880" w:type="dxa"/>
            <w:vAlign w:val="bottom"/>
            <w:gridSpan w:val="17"/>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162</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0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6"/>
              </w:rPr>
              <w:t>Indemnification Agreements</w:t>
            </w:r>
          </w:p>
        </w:tc>
        <w:tc>
          <w:tcPr>
            <w:tcW w:w="420" w:type="dxa"/>
            <w:vAlign w:val="bottom"/>
            <w:gridSpan w:val="3"/>
          </w:tcPr>
          <w:p>
            <w:pPr>
              <w:spacing w:after="0"/>
              <w:rPr>
                <w:sz w:val="18"/>
                <w:szCs w:val="18"/>
                <w:color w:val="auto"/>
              </w:rPr>
            </w:pPr>
          </w:p>
        </w:tc>
        <w:tc>
          <w:tcPr>
            <w:tcW w:w="7880" w:type="dxa"/>
            <w:vAlign w:val="bottom"/>
            <w:gridSpan w:val="17"/>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163</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PRINCIPAL SHAREHOLDERS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164</w:t>
            </w:r>
          </w:p>
        </w:tc>
      </w:tr>
      <w:tr>
        <w:trPr>
          <w:trHeight w:val="20"/>
        </w:trPr>
        <w:tc>
          <w:tcPr>
            <w:tcW w:w="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1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165</w:t>
            </w:r>
          </w:p>
        </w:tc>
      </w:tr>
      <w:tr>
        <w:trPr>
          <w:trHeight w:val="20"/>
        </w:trPr>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13"/>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86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Rule 144</w:t>
            </w:r>
          </w:p>
        </w:tc>
        <w:tc>
          <w:tcPr>
            <w:tcW w:w="7500" w:type="dxa"/>
            <w:vAlign w:val="bottom"/>
            <w:gridSpan w:val="12"/>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165</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800" w:type="dxa"/>
            <w:vAlign w:val="bottom"/>
            <w:gridSpan w:val="16"/>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DESCRIPTION OF SHARE CAPITAL</w:t>
            </w:r>
          </w:p>
        </w:tc>
        <w:tc>
          <w:tcPr>
            <w:tcW w:w="7800" w:type="dxa"/>
            <w:vAlign w:val="bottom"/>
            <w:gridSpan w:val="16"/>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166</w:t>
            </w:r>
          </w:p>
        </w:tc>
      </w:tr>
      <w:tr>
        <w:trPr>
          <w:trHeight w:val="20"/>
        </w:trPr>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14"/>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7800" w:type="dxa"/>
            <w:vAlign w:val="bottom"/>
            <w:gridSpan w:val="16"/>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General</w:t>
            </w:r>
          </w:p>
        </w:tc>
        <w:tc>
          <w:tcPr>
            <w:tcW w:w="1980" w:type="dxa"/>
            <w:vAlign w:val="bottom"/>
            <w:gridSpan w:val="21"/>
          </w:tcPr>
          <w:p>
            <w:pPr>
              <w:spacing w:after="0"/>
              <w:rPr>
                <w:sz w:val="18"/>
                <w:szCs w:val="18"/>
                <w:color w:val="auto"/>
              </w:rPr>
            </w:pPr>
          </w:p>
        </w:tc>
        <w:tc>
          <w:tcPr>
            <w:tcW w:w="7800" w:type="dxa"/>
            <w:vAlign w:val="bottom"/>
            <w:gridSpan w:val="16"/>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166</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14"/>
          </w:tcPr>
          <w:p>
            <w:pPr>
              <w:spacing w:after="0" w:line="20" w:lineRule="exact"/>
              <w:rPr>
                <w:sz w:val="1"/>
                <w:szCs w:val="1"/>
                <w:color w:val="auto"/>
              </w:rPr>
            </w:pPr>
          </w:p>
        </w:tc>
        <w:tc>
          <w:tcPr>
            <w:tcW w:w="8520" w:type="dxa"/>
            <w:vAlign w:val="bottom"/>
            <w:gridSpan w:val="2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8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8"/>
              </w:rPr>
              <w:t>Authorized Share Capital</w:t>
            </w:r>
          </w:p>
        </w:tc>
        <w:tc>
          <w:tcPr>
            <w:tcW w:w="8520" w:type="dxa"/>
            <w:vAlign w:val="bottom"/>
            <w:gridSpan w:val="23"/>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166</w:t>
            </w: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340" w:top="1229" w:right="5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5"/>
              </w:rPr>
              <w:t>Common Shares</w:t>
            </w:r>
          </w:p>
        </w:tc>
        <w:tc>
          <w:tcPr>
            <w:tcW w:w="9180" w:type="dxa"/>
            <w:vAlign w:val="bottom"/>
            <w:gridSpan w:val="8"/>
          </w:tcPr>
          <w:p>
            <w:pPr>
              <w:spacing w:after="0"/>
              <w:rPr>
                <w:sz w:val="17"/>
                <w:szCs w:val="17"/>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166</w:t>
            </w:r>
          </w:p>
        </w:tc>
      </w:tr>
      <w:tr>
        <w:trPr>
          <w:trHeight w:val="20"/>
        </w:trPr>
        <w:tc>
          <w:tcPr>
            <w:tcW w:w="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5"/>
              </w:rPr>
              <w:t>Preferred Shares</w:t>
            </w:r>
          </w:p>
        </w:tc>
        <w:tc>
          <w:tcPr>
            <w:tcW w:w="9180" w:type="dxa"/>
            <w:vAlign w:val="bottom"/>
            <w:gridSpan w:val="8"/>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168</w:t>
            </w:r>
          </w:p>
        </w:tc>
      </w:tr>
      <w:tr>
        <w:trPr>
          <w:trHeight w:val="20"/>
        </w:trPr>
        <w:tc>
          <w:tcPr>
            <w:tcW w:w="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Limitations on the Right to Own Shares</w:t>
            </w:r>
          </w:p>
        </w:tc>
        <w:tc>
          <w:tcPr>
            <w:tcW w:w="7500" w:type="dxa"/>
            <w:vAlign w:val="bottom"/>
            <w:gridSpan w:val="4"/>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168</w:t>
            </w:r>
          </w:p>
        </w:tc>
      </w:tr>
      <w:tr>
        <w:trPr>
          <w:trHeight w:val="20"/>
        </w:trPr>
        <w:tc>
          <w:tcPr>
            <w:tcW w:w="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Disclosure of Shareholder Ownership</w:t>
            </w:r>
          </w:p>
        </w:tc>
        <w:tc>
          <w:tcPr>
            <w:tcW w:w="7500" w:type="dxa"/>
            <w:vAlign w:val="bottom"/>
            <w:gridSpan w:val="4"/>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168</w:t>
            </w:r>
          </w:p>
        </w:tc>
      </w:tr>
      <w:tr>
        <w:trPr>
          <w:trHeight w:val="20"/>
        </w:trPr>
        <w:tc>
          <w:tcPr>
            <w:tcW w:w="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4"/>
              </w:rPr>
              <w:t>Differences in Corporate Law</w:t>
            </w:r>
          </w:p>
        </w:tc>
        <w:tc>
          <w:tcPr>
            <w:tcW w:w="620" w:type="dxa"/>
            <w:vAlign w:val="bottom"/>
          </w:tcPr>
          <w:p>
            <w:pPr>
              <w:spacing w:after="0"/>
              <w:rPr>
                <w:sz w:val="18"/>
                <w:szCs w:val="18"/>
                <w:color w:val="auto"/>
              </w:rPr>
            </w:pPr>
          </w:p>
        </w:tc>
        <w:tc>
          <w:tcPr>
            <w:tcW w:w="7660" w:type="dxa"/>
            <w:vAlign w:val="bottom"/>
            <w:gridSpan w:val="5"/>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168</w:t>
            </w:r>
          </w:p>
        </w:tc>
      </w:tr>
      <w:tr>
        <w:trPr>
          <w:trHeight w:val="20"/>
        </w:trPr>
        <w:tc>
          <w:tcPr>
            <w:tcW w:w="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Transfer Agent and Registrar</w:t>
            </w:r>
          </w:p>
        </w:tc>
        <w:tc>
          <w:tcPr>
            <w:tcW w:w="8280" w:type="dxa"/>
            <w:vAlign w:val="bottom"/>
            <w:gridSpan w:val="6"/>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174</w:t>
            </w:r>
          </w:p>
        </w:tc>
      </w:tr>
      <w:tr>
        <w:trPr>
          <w:trHeight w:val="20"/>
        </w:trPr>
        <w:tc>
          <w:tcPr>
            <w:tcW w:w="3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Stock Exchange Listing</w:t>
            </w:r>
          </w:p>
        </w:tc>
        <w:tc>
          <w:tcPr>
            <w:tcW w:w="8280" w:type="dxa"/>
            <w:vAlign w:val="bottom"/>
            <w:gridSpan w:val="6"/>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174</w:t>
            </w:r>
          </w:p>
        </w:tc>
      </w:tr>
      <w:tr>
        <w:trPr>
          <w:trHeight w:val="20"/>
        </w:trPr>
        <w:tc>
          <w:tcPr>
            <w:tcW w:w="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175</w:t>
            </w:r>
          </w:p>
        </w:tc>
      </w:tr>
      <w:tr>
        <w:trPr>
          <w:trHeight w:val="20"/>
        </w:trPr>
        <w:tc>
          <w:tcPr>
            <w:tcW w:w="382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20" w:type="dxa"/>
            <w:vAlign w:val="bottom"/>
            <w:gridSpan w:val="2"/>
          </w:tcPr>
          <w:p>
            <w:pPr>
              <w:spacing w:after="0"/>
              <w:rPr>
                <w:sz w:val="18"/>
                <w:szCs w:val="18"/>
                <w:color w:val="auto"/>
              </w:rPr>
            </w:pPr>
          </w:p>
        </w:tc>
        <w:tc>
          <w:tcPr>
            <w:tcW w:w="64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176</w:t>
            </w:r>
          </w:p>
        </w:tc>
      </w:tr>
      <w:tr>
        <w:trPr>
          <w:trHeight w:val="20"/>
        </w:trPr>
        <w:tc>
          <w:tcPr>
            <w:tcW w:w="382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Borders>
              <w:right w:val="single" w:sz="8" w:color="0000FF"/>
            </w:tcBorders>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INDEX TO COMBINED FINANCIAL STATEMENTS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F-1</w:t>
            </w:r>
          </w:p>
        </w:tc>
      </w:tr>
      <w:tr>
        <w:trPr>
          <w:trHeight w:val="20"/>
        </w:trPr>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340" w:top="1229" w:right="59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purposes of this information statement, due to SpinCo’s lack of operating history, all historical items have been described as attributed to SpinCo. In connection with the Separation and the Distribution, RemainCo expects to assign to SpinCo, the agreements, leases, licenses and other contracts and assets necessary for SpinCo to conduct the businesses described in this information statement.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SpinCo was incorporated on May 2, 2022 as a direct, wholly-owned subsidiary of RemainCo and has had no significant operations or activity other than its initial issuance of shares for a nominal consideration and entry into the Distribution Agreement. Prior to the Distribution, and pursuant to the Separation, RemainCo will undergo an internal restructuring that will generally result in (a) SpinCo directly or indirectly owning, assuming or retaining certain assets and liabilities of RemainCo and its subsidiaries related to RemainCo’s pipeline assets and businesses and (b) RemainCo directly or indirectly owning, assuming or retaining all other assets and liabilities, including those associated with RemainCo’s platform for the research, development, manufacture and commercialization of calcitonin gene-related peptide receptor (“CGRP”) antagonists, including rimegepant, zavegepant and the Heptares Therapeutics Limited preclinical CGRP portfolio and related assets (which we refer to as the “CGRP Business”). Where we describe in this information statement our business activities, we do so as if these transfers have already occurred.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251" w:right="3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8276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7136130" cy="8276590"/>
                    </a:xfrm>
                    <a:prstGeom prst="rect">
                      <a:avLst/>
                    </a:prstGeom>
                    <a:noFill/>
                  </pic:spPr>
                </pic:pic>
              </a:graphicData>
            </a:graphic>
          </wp:anchor>
        </w:drawing>
      </w:r>
    </w:p>
    <w:p>
      <w:pPr>
        <w:spacing w:after="0" w:line="21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 AND DISTRIBUTION</w:t>
      </w:r>
    </w:p>
    <w:p>
      <w:pPr>
        <w:spacing w:after="0" w:line="175" w:lineRule="exact"/>
        <w:rPr>
          <w:sz w:val="20"/>
          <w:szCs w:val="20"/>
          <w:color w:val="auto"/>
        </w:rPr>
      </w:pPr>
    </w:p>
    <w:p>
      <w:pPr>
        <w:ind w:left="8" w:right="2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terms of the Separation and Distribution. Please see “The Separation and Distribution” for a more detailed description of the matters described below.</w:t>
      </w:r>
    </w:p>
    <w:p>
      <w:pPr>
        <w:spacing w:after="0" w:line="104"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is the Separation and Distribution?</w:t>
      </w:r>
    </w:p>
    <w:p>
      <w:pPr>
        <w:spacing w:after="0" w:line="162" w:lineRule="exact"/>
        <w:rPr>
          <w:sz w:val="20"/>
          <w:szCs w:val="20"/>
          <w:color w:val="auto"/>
        </w:rPr>
      </w:pPr>
    </w:p>
    <w:p>
      <w:pPr>
        <w:ind w:left="328" w:hanging="328"/>
        <w:spacing w:after="0" w:line="242" w:lineRule="auto"/>
        <w:tabs>
          <w:tab w:leader="none" w:pos="3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is the method by which RemainCo will separate the businesses of SpinCo from RemainCo’s other business, creating two separate, publicly traded companies. The Separation will generally result in (i) SpinCo directly or indirectly owning, assuming or retaining certain assets and liabilities of RemainCo and its subsidiaries related to RemainCo’s pipeline assets and businesses and (ii) RemainCo directly or indirectly owning, assuming or retaining all other assets and liabilities, including those associated with the CGRP Business.</w:t>
      </w:r>
    </w:p>
    <w:p>
      <w:pPr>
        <w:spacing w:after="0" w:line="144"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In the Distribution, RemainCo will distribute to its shareholders as of the record date, on a pro rata basis, all of our common shares that it owns. Following the Distribution, we will be a separate company from RemainCo, and RemainCo will not retain any ownership interest in us. The number of RemainCo common shares you own will not change as a result of the Distribution.</w:t>
      </w:r>
    </w:p>
    <w:p>
      <w:pPr>
        <w:spacing w:after="0" w:line="118"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is being distributed in the Distribution?</w:t>
      </w:r>
    </w:p>
    <w:p>
      <w:pPr>
        <w:spacing w:after="0" w:line="175" w:lineRule="exact"/>
        <w:rPr>
          <w:sz w:val="20"/>
          <w:szCs w:val="20"/>
          <w:color w:val="auto"/>
        </w:rPr>
      </w:pPr>
    </w:p>
    <w:p>
      <w:pPr>
        <w:ind w:left="328" w:right="60" w:hanging="328"/>
        <w:spacing w:after="0" w:line="261" w:lineRule="auto"/>
        <w:tabs>
          <w:tab w:leader="none" w:pos="3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35,822,511 of our common shares would be distributed in the Distribution, based upon the number of RemainCo common shares outstanding on September 19, 2022. SpinCo’s common shares to be distributed by RemainCo will constitute all of our issued and outstanding common shares immediately after the Distribution. For more information on the shares being distributed in the Distribution, see “Description of Shares—Common Shares.”</w:t>
      </w:r>
    </w:p>
    <w:p>
      <w:pPr>
        <w:spacing w:after="0" w:line="122"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will I receive in the Distribution?</w:t>
      </w:r>
    </w:p>
    <w:p>
      <w:pPr>
        <w:spacing w:after="0" w:line="175" w:lineRule="exact"/>
        <w:rPr>
          <w:sz w:val="20"/>
          <w:szCs w:val="20"/>
          <w:color w:val="auto"/>
        </w:rPr>
      </w:pPr>
    </w:p>
    <w:p>
      <w:pPr>
        <w:ind w:left="328" w:hanging="328"/>
        <w:spacing w:after="0" w:line="261" w:lineRule="auto"/>
        <w:tabs>
          <w:tab w:leader="none" w:pos="3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RemainCo common shares will receive a distribution of one SpinCo common share for every two RemainCo common shares held by them on the record date. As a result of the Distribution, your interest in RemainCo will not change and you will own the same percentage of equity securities and voting power in SpinCo as you did in RemainCo. For a more detailed description, see “The Separation and Distribution.”</w:t>
      </w:r>
    </w:p>
    <w:p>
      <w:pPr>
        <w:spacing w:after="0" w:line="122"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record date for the Distribution?</w:t>
      </w:r>
    </w:p>
    <w:p>
      <w:pPr>
        <w:spacing w:after="0" w:line="175" w:lineRule="exact"/>
        <w:rPr>
          <w:sz w:val="20"/>
          <w:szCs w:val="20"/>
          <w:color w:val="auto"/>
        </w:rPr>
      </w:pPr>
    </w:p>
    <w:p>
      <w:pPr>
        <w:ind w:left="328" w:right="80" w:hanging="328"/>
        <w:spacing w:after="0" w:line="266" w:lineRule="auto"/>
        <w:tabs>
          <w:tab w:leader="none" w:pos="3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ownership will be determined as of the close of business, New York City time, on September 26, 2022, which we refer to as the “record date”. The person in whose name RemainCo common shares are registered at the close of business on the record date is the person to whom the SpinCo’s common shares will be issued in the Distribution.</w:t>
      </w:r>
    </w:p>
    <w:p>
      <w:pPr>
        <w:spacing w:after="0" w:line="118"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will the Distribution occur?</w:t>
      </w:r>
    </w:p>
    <w:p>
      <w:pPr>
        <w:spacing w:after="0" w:line="175" w:lineRule="exact"/>
        <w:rPr>
          <w:sz w:val="20"/>
          <w:szCs w:val="20"/>
          <w:color w:val="auto"/>
        </w:rPr>
      </w:pPr>
    </w:p>
    <w:p>
      <w:pPr>
        <w:ind w:left="328" w:right="260" w:hanging="328"/>
        <w:spacing w:after="0" w:line="266" w:lineRule="auto"/>
        <w:tabs>
          <w:tab w:leader="none" w:pos="3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common shares will be distributed by the distribution agent, on behalf of RemainCo, early in the fourth quarter of 2022, subject to the conditions to the Spin-Off described below. We refer to the date on which the Distribution will take place as the “Distribution date.”</w:t>
      </w:r>
    </w:p>
    <w:p>
      <w:pPr>
        <w:spacing w:after="0" w:line="118"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will the relationship between RemainCo and us be following the Distribution?</w:t>
      </w:r>
    </w:p>
    <w:p>
      <w:pPr>
        <w:spacing w:after="0" w:line="175" w:lineRule="exact"/>
        <w:rPr>
          <w:sz w:val="20"/>
          <w:szCs w:val="20"/>
          <w:color w:val="auto"/>
        </w:rPr>
      </w:pPr>
    </w:p>
    <w:p>
      <w:pPr>
        <w:ind w:left="328" w:hanging="328"/>
        <w:spacing w:after="0" w:line="253" w:lineRule="auto"/>
        <w:tabs>
          <w:tab w:leader="none" w:pos="3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we will be a public company and RemainCo will have no continuing ownership interest in us. In connection with the Separation and the Distribution, we and RemainCo entered into a Distribution Agreement for the purpose of accomplishing, among other things, the Separation of the business of SpinCo and the Distribution of our common shares to RemainCo’s common shareholders. On or prior to the Distribution date, we will enter into a Transition Services Agreement with RemainCo, pursuant to which we will provide certain transition services to RemainCo, and RemainCo will provide certain transition services to us. Under the Distribution Agreement, each of RemainCo and SpinCo agrees to indemnify, defend and hold harmless the other party, and its affiliates and certain representatives, from and after the Distribution date, from losses in connection with, among other things, (i) the liabilities assigned to, or retained by, the other party, as applicable, or (ii) the breach by such party of the Distribution Agreement. Each of RemainCo and SpinCo agreed to release the other party from, among other things, any and all liabilities existing or arising from any acts or events occurring or failing to occur on or prior to the Distribution, including in connection with the Separation, the Distribution or any other transactions contemplated under the Distribution Agreement and the Transition Services Agreement, and each of RemainCo and SpinCo agreed not to bring any proceeding or claim against the other party in respect of such liabilities. We will also be party to other arrangements with RemainCo.</w:t>
      </w:r>
    </w:p>
    <w:p>
      <w:pPr>
        <w:sectPr>
          <w:pgSz w:w="11900" w:h="16838" w:orient="portrait"/>
          <w:cols w:equalWidth="0" w:num="1">
            <w:col w:w="10188"/>
          </w:cols>
          <w:pgMar w:left="832"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188"/>
          </w:cols>
          <w:pgMar w:left="832" w:top="1440" w:right="879" w:bottom="1440" w:gutter="0" w:footer="0" w:header="0"/>
          <w:type w:val="continuous"/>
        </w:sectPr>
      </w:pPr>
    </w:p>
    <w:bookmarkStart w:id="15" w:name="page16"/>
    <w:bookmarkEnd w:id="1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710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ind w:left="328" w:right="160"/>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Transactions—Related Person Transaction Policy” for a discussion of the policy that will be in place for dealing with potential conflicts of interest that may arise from our ongoing relationship with RemainCo.</w:t>
      </w:r>
    </w:p>
    <w:p>
      <w:pPr>
        <w:spacing w:after="0" w:line="104"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do I have to do to participate in the Distribution?</w:t>
      </w:r>
    </w:p>
    <w:p>
      <w:pPr>
        <w:spacing w:after="0" w:line="175" w:lineRule="exact"/>
        <w:rPr>
          <w:sz w:val="20"/>
          <w:szCs w:val="20"/>
          <w:color w:val="auto"/>
        </w:rPr>
      </w:pPr>
    </w:p>
    <w:p>
      <w:pPr>
        <w:ind w:left="328" w:right="60" w:hanging="328"/>
        <w:spacing w:after="0" w:line="266" w:lineRule="auto"/>
        <w:tabs>
          <w:tab w:leader="none" w:pos="3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is required on your part. Shareholders of RemainCo on the record date for the Distribution are not required to pay any cash or deliver any other consideration, including any RemainCo common shares, for our common shares distributable to them in the Distribution.</w:t>
      </w:r>
    </w:p>
    <w:p>
      <w:pPr>
        <w:spacing w:after="0" w:line="118" w:lineRule="exact"/>
        <w:rPr>
          <w:sz w:val="20"/>
          <w:szCs w:val="20"/>
          <w:color w:val="auto"/>
        </w:rPr>
      </w:pPr>
    </w:p>
    <w:p>
      <w:pPr>
        <w:ind w:left="388" w:hanging="388"/>
        <w:spacing w:after="0"/>
        <w:tabs>
          <w:tab w:leader="none" w:pos="38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fractional shares be treated in the Distribution?</w:t>
      </w:r>
    </w:p>
    <w:p>
      <w:pPr>
        <w:spacing w:after="0" w:line="175" w:lineRule="exact"/>
        <w:rPr>
          <w:sz w:val="20"/>
          <w:szCs w:val="20"/>
          <w:color w:val="auto"/>
        </w:rPr>
      </w:pPr>
    </w:p>
    <w:p>
      <w:pPr>
        <w:ind w:left="328" w:right="80" w:hanging="328"/>
        <w:spacing w:after="0" w:line="266" w:lineRule="auto"/>
        <w:tabs>
          <w:tab w:leader="none" w:pos="3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would be entitled to receive a fractional share of our common shares in the Distribution, you will instead receive a cash payment. See “The Separation and Distribution—Manner of Effecting the Distribution” for an explanation of how the cash payments will be determined.</w:t>
      </w:r>
    </w:p>
    <w:p>
      <w:pPr>
        <w:spacing w:after="0" w:line="118" w:lineRule="exact"/>
        <w:rPr>
          <w:sz w:val="20"/>
          <w:szCs w:val="20"/>
          <w:color w:val="auto"/>
        </w:rPr>
      </w:pPr>
    </w:p>
    <w:p>
      <w:pPr>
        <w:ind w:left="388" w:hanging="388"/>
        <w:spacing w:after="0"/>
        <w:tabs>
          <w:tab w:leader="none" w:pos="38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RemainCo distribute SpinCo common shares to me?</w:t>
      </w:r>
    </w:p>
    <w:p>
      <w:pPr>
        <w:spacing w:after="0" w:line="175" w:lineRule="exact"/>
        <w:rPr>
          <w:sz w:val="20"/>
          <w:szCs w:val="20"/>
          <w:color w:val="auto"/>
        </w:rPr>
      </w:pPr>
    </w:p>
    <w:p>
      <w:pPr>
        <w:ind w:left="328" w:right="100" w:hanging="328"/>
        <w:spacing w:after="0" w:line="289" w:lineRule="auto"/>
        <w:tabs>
          <w:tab w:leader="none" w:pos="36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RemainCo common shares as of the record date will receive SpinCo common shares in book-entry form. Shareholders who own RemainCo common shares through a broker or other nominee will receive a credit to their accounts by the broker or other nominee for their shares. See “The Separation and Distribution—Manner of Effecting the Distribution” for a more detailed explanation.</w:t>
      </w:r>
    </w:p>
    <w:p>
      <w:pPr>
        <w:spacing w:after="0" w:line="100"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is the Merger and what effects will it have on RemainCo?</w:t>
      </w:r>
    </w:p>
    <w:p>
      <w:pPr>
        <w:spacing w:after="0" w:line="175" w:lineRule="exact"/>
        <w:rPr>
          <w:sz w:val="20"/>
          <w:szCs w:val="20"/>
          <w:color w:val="auto"/>
        </w:rPr>
      </w:pPr>
    </w:p>
    <w:p>
      <w:pPr>
        <w:ind w:left="328" w:right="20" w:hanging="328"/>
        <w:spacing w:after="0" w:line="261" w:lineRule="auto"/>
        <w:tabs>
          <w:tab w:leader="none" w:pos="3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the acquisition of RemainCo by Pfizer following the Separation and Distribution, which will be accomplished either: (a) if the Merger occurs on or before December 30, 2022, through the Reverse Triangular Merger or (b) if the Merger occurs after December 30, 2022, then, at Pfizer’s discretion, either (i) through the Reverse Triangular Merger or (ii) through the merger of RemainCo with and into Merger Sub, with Merger Sub continuing as the surviving company.</w:t>
      </w:r>
    </w:p>
    <w:p>
      <w:pPr>
        <w:spacing w:after="0" w:line="126" w:lineRule="exact"/>
        <w:rPr>
          <w:sz w:val="20"/>
          <w:szCs w:val="20"/>
          <w:color w:val="auto"/>
        </w:rPr>
      </w:pPr>
    </w:p>
    <w:p>
      <w:pPr>
        <w:ind w:left="328" w:right="60"/>
        <w:spacing w:after="0" w:line="272" w:lineRule="auto"/>
        <w:rPr>
          <w:sz w:val="20"/>
          <w:szCs w:val="20"/>
          <w:color w:val="auto"/>
        </w:rPr>
      </w:pPr>
      <w:r>
        <w:rPr>
          <w:rFonts w:ascii="Times New Roman" w:cs="Times New Roman" w:eastAsia="Times New Roman" w:hAnsi="Times New Roman"/>
          <w:sz w:val="17"/>
          <w:szCs w:val="17"/>
          <w:color w:val="auto"/>
        </w:rPr>
        <w:t>If the proposal to adopt the Merger Agreement, the forms of plan of merger, and the Distribution Agreement are approved by RemainCo shareholders and the other closing conditions under the Merger Agreement and the Distribution Agreement have been satisfied or waived, (i) you will own one common share of SpinCo for every two common shares of RemainCo you hold as of the record date, and</w:t>
      </w:r>
    </w:p>
    <w:p>
      <w:pPr>
        <w:spacing w:after="0" w:line="2" w:lineRule="exact"/>
        <w:rPr>
          <w:sz w:val="20"/>
          <w:szCs w:val="20"/>
          <w:color w:val="auto"/>
        </w:rPr>
      </w:pPr>
    </w:p>
    <w:p>
      <w:pPr>
        <w:ind w:left="328" w:right="60" w:hanging="4"/>
        <w:spacing w:after="0" w:line="253" w:lineRule="auto"/>
        <w:tabs>
          <w:tab w:leader="none" w:pos="59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will no longer be a publicly held company, and the current holders of RemainCo common shares, will no longer have any interest in the future earnings or growth of RemainCo. In addition, following the completion of the Merger, (i) RemainCo common shares will be delisted from the NYSE and deregistered under the Exchange Act, and RemainCo will no longer file periodic reports with the SEC on account of RemainCo common shares, and (ii) SpinCo will be a separate, publicly held company.</w:t>
      </w:r>
    </w:p>
    <w:p>
      <w:pPr>
        <w:spacing w:after="0" w:line="130"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Spin-Off?</w:t>
      </w:r>
    </w:p>
    <w:p>
      <w:pPr>
        <w:spacing w:after="0" w:line="175" w:lineRule="exact"/>
        <w:rPr>
          <w:sz w:val="20"/>
          <w:szCs w:val="20"/>
          <w:color w:val="auto"/>
        </w:rPr>
      </w:pPr>
    </w:p>
    <w:p>
      <w:pPr>
        <w:ind w:left="348" w:hanging="348"/>
        <w:spacing w:after="0"/>
        <w:tabs>
          <w:tab w:leader="none" w:pos="3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is subject to the satisfaction or waiver by each of RemainCo and SpinCo of the following conditions:</w:t>
      </w:r>
    </w:p>
    <w:p>
      <w:pPr>
        <w:spacing w:after="0" w:line="171" w:lineRule="exact"/>
        <w:rPr>
          <w:rFonts w:ascii="Times New Roman" w:cs="Times New Roman" w:eastAsia="Times New Roman" w:hAnsi="Times New Roman"/>
          <w:sz w:val="18"/>
          <w:szCs w:val="18"/>
          <w:color w:val="auto"/>
        </w:rPr>
      </w:pPr>
    </w:p>
    <w:p>
      <w:pPr>
        <w:ind w:left="648" w:right="40" w:hanging="324"/>
        <w:spacing w:after="0" w:line="261" w:lineRule="auto"/>
        <w:tabs>
          <w:tab w:leader="none" w:pos="6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or waiver by the party entitled to the benefit thereof of the conditions precedent in the Merger Agreement to the consummation of the Merger other than the completion of the Distribution and any conditions that can only be satisfied at the closing of the Merger (provided that such conditions are then capable of being satisfied) and confirmation in writing by Pfizer that it is prepared to consummate the Merger, subject only to the consummation of the Distribution;</w:t>
      </w:r>
    </w:p>
    <w:p>
      <w:pPr>
        <w:spacing w:after="0" w:line="125" w:lineRule="exact"/>
        <w:rPr>
          <w:rFonts w:ascii="Times New Roman" w:cs="Times New Roman" w:eastAsia="Times New Roman" w:hAnsi="Times New Roman"/>
          <w:sz w:val="18"/>
          <w:szCs w:val="18"/>
          <w:color w:val="auto"/>
        </w:rPr>
      </w:pPr>
    </w:p>
    <w:p>
      <w:pPr>
        <w:ind w:left="648" w:hanging="324"/>
        <w:spacing w:after="0" w:line="282" w:lineRule="auto"/>
        <w:tabs>
          <w:tab w:leader="none" w:pos="6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effectiveness of the registration statement in connection with the Distribution by the SEC, no stop order or proceedings to suspend its effectiveness, and mailing of the information statement to holders of RemainCo common shares as of the record date;</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for listing on a national securities exchange of SpinCo common shares;</w:t>
      </w:r>
    </w:p>
    <w:p>
      <w:pPr>
        <w:spacing w:after="0" w:line="17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restraint against the Separation, Distribution or the Merger;</w:t>
      </w:r>
    </w:p>
    <w:p>
      <w:pPr>
        <w:spacing w:after="0" w:line="17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Transition Services Agreement to be entered into between RemainCo and SpinCo; and</w:t>
      </w:r>
    </w:p>
    <w:p>
      <w:pPr>
        <w:spacing w:after="0" w:line="17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all material respects of the Separation.</w:t>
      </w:r>
    </w:p>
    <w:p>
      <w:pPr>
        <w:sectPr>
          <w:pgSz w:w="11900" w:h="16838" w:orient="portrait"/>
          <w:cols w:equalWidth="0" w:num="1">
            <w:col w:w="10208"/>
          </w:cols>
          <w:pgMar w:left="832"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208"/>
          </w:cols>
          <w:pgMar w:left="832" w:top="1440" w:right="859" w:bottom="1440" w:gutter="0" w:footer="0" w:header="0"/>
          <w:type w:val="continuous"/>
        </w:sectPr>
      </w:pPr>
    </w:p>
    <w:bookmarkStart w:id="16" w:name="page17"/>
    <w:bookmarkEnd w:id="1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213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136130" cy="7213600"/>
                    </a:xfrm>
                    <a:prstGeom prst="rect">
                      <a:avLst/>
                    </a:prstGeom>
                    <a:noFill/>
                  </pic:spPr>
                </pic:pic>
              </a:graphicData>
            </a:graphic>
          </wp:anchor>
        </w:drawing>
      </w:r>
    </w:p>
    <w:p>
      <w:pPr>
        <w:ind w:left="328" w:right="140"/>
        <w:spacing w:after="0" w:line="282" w:lineRule="auto"/>
        <w:rPr>
          <w:sz w:val="20"/>
          <w:szCs w:val="20"/>
          <w:color w:val="auto"/>
        </w:rPr>
      </w:pPr>
      <w:r>
        <w:rPr>
          <w:rFonts w:ascii="Times New Roman" w:cs="Times New Roman" w:eastAsia="Times New Roman" w:hAnsi="Times New Roman"/>
          <w:sz w:val="18"/>
          <w:szCs w:val="18"/>
          <w:color w:val="auto"/>
        </w:rPr>
        <w:t>Each of the foregoing conditions may be waived by RemainCo and SpinCo (to the extent permitted by applicable law). The second and fourth conditions listed above may not be waived pursuant to applicable law.</w:t>
      </w:r>
    </w:p>
    <w:p>
      <w:pPr>
        <w:spacing w:after="0" w:line="104"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reason for the Spin-Off?</w:t>
      </w:r>
    </w:p>
    <w:p>
      <w:pPr>
        <w:spacing w:after="0" w:line="175" w:lineRule="exact"/>
        <w:rPr>
          <w:sz w:val="20"/>
          <w:szCs w:val="20"/>
          <w:color w:val="auto"/>
        </w:rPr>
      </w:pPr>
    </w:p>
    <w:p>
      <w:pPr>
        <w:ind w:left="328" w:right="160" w:hanging="328"/>
        <w:spacing w:after="0" w:line="282" w:lineRule="auto"/>
        <w:tabs>
          <w:tab w:leader="none" w:pos="3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reasons considered by RemainCo’s board of directors in making the determination to consummate the Spin-Off include the following:</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of RemainCo’s non-CGRP assets was proposed by Pfizer as a condition to the Merger;</w:t>
      </w:r>
    </w:p>
    <w:p>
      <w:pPr>
        <w:spacing w:after="0" w:line="171" w:lineRule="exact"/>
        <w:rPr>
          <w:rFonts w:ascii="Times New Roman" w:cs="Times New Roman" w:eastAsia="Times New Roman" w:hAnsi="Times New Roman"/>
          <w:sz w:val="18"/>
          <w:szCs w:val="18"/>
          <w:color w:val="auto"/>
        </w:rPr>
      </w:pPr>
    </w:p>
    <w:p>
      <w:pPr>
        <w:jc w:val="both"/>
        <w:ind w:left="648" w:right="180" w:hanging="324"/>
        <w:spacing w:after="0" w:line="266" w:lineRule="auto"/>
        <w:tabs>
          <w:tab w:leader="none" w:pos="6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RemainCo board of directors’ assessment that the assets and royalty payment right to be transferred to SpinCo in the Spin-Off are valuable and that the Spin-Off provides the most attractive option for investors to receive value for these assets, including with respect to the potential commercialization and future profitability of SpinCo’s product candidates;</w:t>
      </w:r>
    </w:p>
    <w:p>
      <w:pPr>
        <w:spacing w:after="0" w:line="121" w:lineRule="exact"/>
        <w:rPr>
          <w:rFonts w:ascii="Times New Roman" w:cs="Times New Roman" w:eastAsia="Times New Roman" w:hAnsi="Times New Roman"/>
          <w:sz w:val="18"/>
          <w:szCs w:val="18"/>
          <w:color w:val="auto"/>
        </w:rPr>
      </w:pPr>
    </w:p>
    <w:p>
      <w:pPr>
        <w:jc w:val="both"/>
        <w:ind w:left="648" w:right="220" w:hanging="324"/>
        <w:spacing w:after="0" w:line="266" w:lineRule="auto"/>
        <w:tabs>
          <w:tab w:leader="none" w:pos="6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shareholders of RemainCo would receive common shares of SpinCo in addition to the consideration being paid in the Merger, allowing shareholders of RemainCo to continue to recognize value from RemainCo’s non-CGRP pipeline assets, and the additional value of the SpinCo shares to the overall consideration being paid in the Merger;</w:t>
      </w:r>
    </w:p>
    <w:p>
      <w:pPr>
        <w:spacing w:after="0" w:line="121" w:lineRule="exact"/>
        <w:rPr>
          <w:rFonts w:ascii="Times New Roman" w:cs="Times New Roman" w:eastAsia="Times New Roman" w:hAnsi="Times New Roman"/>
          <w:sz w:val="18"/>
          <w:szCs w:val="18"/>
          <w:color w:val="auto"/>
        </w:rPr>
      </w:pPr>
    </w:p>
    <w:p>
      <w:pPr>
        <w:ind w:left="648" w:right="20" w:hanging="324"/>
        <w:spacing w:after="0" w:line="255" w:lineRule="auto"/>
        <w:tabs>
          <w:tab w:leader="none" w:pos="6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payment structure included in Pfizer’s offer, pursuant to which RemainCo will be required to make certain tiered royalty payments at percentage rates in the low-tens to mid-teens to SpinCo in respect of aggregate annual net sales of rimegepant and zavegepant in the United States in excess of $5.25 billion, subject to an annual cap on royalties of $400 million per year (which cap will be reached if the aggregate annual net sales of rimegepant and zavegepant in the United States amount to $8.15 billion), for all years ended on or prior to December 31, 2040, thereby allowing RemainCo shareholders to indirectly continue to receive value from net sales of rimegepant and zavegepant to the extent they remain shareholders of SpinCo and royalty payments are made and increase the value of SpinCo’s shares; and</w:t>
      </w:r>
    </w:p>
    <w:p>
      <w:pPr>
        <w:spacing w:after="0" w:line="134" w:lineRule="exact"/>
        <w:rPr>
          <w:rFonts w:ascii="Times New Roman" w:cs="Times New Roman" w:eastAsia="Times New Roman" w:hAnsi="Times New Roman"/>
          <w:sz w:val="18"/>
          <w:szCs w:val="18"/>
          <w:color w:val="auto"/>
        </w:rPr>
      </w:pPr>
    </w:p>
    <w:p>
      <w:pPr>
        <w:ind w:left="648" w:right="60" w:hanging="324"/>
        <w:spacing w:after="0" w:line="258" w:lineRule="auto"/>
        <w:tabs>
          <w:tab w:leader="none" w:pos="6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RemainCo’s board of directors considered the overall value of the Merger and the Spin-Off in the context of current market activity, RemainCo’s historic performance in the commercialization of its CGRP products and changes in general economic and political conditions and timing for RemainCo to explore a potential strategic transaction, including in light of recent trends toward industry consolidation and the impact of market volatility on RemainCo. The board of directors concluded that it was an opportune time for RemainCo to consider a sale of RemainCo and a spin-off of SpinCo in light of these factors.</w:t>
      </w:r>
    </w:p>
    <w:p>
      <w:pPr>
        <w:spacing w:after="0" w:line="129" w:lineRule="exact"/>
        <w:rPr>
          <w:sz w:val="20"/>
          <w:szCs w:val="20"/>
          <w:color w:val="auto"/>
        </w:rPr>
      </w:pPr>
    </w:p>
    <w:p>
      <w:pPr>
        <w:ind w:left="328"/>
        <w:spacing w:after="0" w:line="253" w:lineRule="auto"/>
        <w:rPr>
          <w:sz w:val="20"/>
          <w:szCs w:val="20"/>
          <w:color w:val="auto"/>
        </w:rPr>
      </w:pPr>
      <w:r>
        <w:rPr>
          <w:rFonts w:ascii="Times New Roman" w:cs="Times New Roman" w:eastAsia="Times New Roman" w:hAnsi="Times New Roman"/>
          <w:sz w:val="18"/>
          <w:szCs w:val="18"/>
          <w:color w:val="auto"/>
        </w:rPr>
        <w:t>In addition, RemainCo’s board of directors also considered certain aspects of the Spin-Off that may be adverse to SpinCo. SpinCo’s common shares may come under selling pressure as certain RemainCo shareholders sell their SpinCo shares because they are not interested in holding an investment in SpinCo’s businesses. Moreover, certain factors such as the small size and expected market value of SpinCo may limit investors’ ability to appropriately value SpinCo’s common shares. Because SpinCo will no longer be part of RemainCo, the Spin-Off also will eliminate the ability of SpinCo to pursue cross-company business initiatives with the businesses that will be owned by RemainCo. In addition, after the Spin-Off, SpinCo will not own any rights to the CGRP platform, including those assets and liabilities associated with RemainCo’s platform for the research, development, manufacture and commercialization of CGRP receptor antagonists, including rimegepant, zavegepant and the Heptares Therapeutics Limited preclinical CGRP portfolio and related assets. Finally, as a result of the Spin-Off, the Company will bear incremental costs associated with the Spin-Off and being a publicly held company.</w:t>
      </w:r>
    </w:p>
    <w:p>
      <w:pPr>
        <w:spacing w:after="0" w:line="136"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What are the federal income tax consequences to me of the Distribution?</w:t>
      </w:r>
    </w:p>
    <w:p>
      <w:pPr>
        <w:spacing w:after="0" w:line="162" w:lineRule="exact"/>
        <w:rPr>
          <w:sz w:val="20"/>
          <w:szCs w:val="20"/>
          <w:color w:val="auto"/>
        </w:rPr>
      </w:pPr>
    </w:p>
    <w:p>
      <w:pPr>
        <w:ind w:left="328" w:right="220" w:hanging="328"/>
        <w:spacing w:after="0" w:line="242" w:lineRule="auto"/>
        <w:tabs>
          <w:tab w:leader="none" w:pos="3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laws, a U.S. holder (as defined in “The Separation and Distribution—Certain U.S. Federal Income Tax Consequences”) must include in its gross income the gross amount of any dividend paid by RemainCo to the extent of its current or accumulated earnings and profits (as determined for U.S. federal income tax purposes). RemainCo has not calculated earnings and profits in accordance with U.S. federal income tax principles. Accordingly, U.S. holders should expect to treat the Distribution as a dividend. See “The Separation and Distribution—Certain U.S. Federal Income Tax Consequences”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08"/>
          </w:cols>
          <w:pgMar w:left="832" w:top="1440" w:right="859" w:bottom="1440" w:gutter="0" w:footer="0" w:header="0"/>
        </w:sectPr>
      </w:pPr>
    </w:p>
    <w:bookmarkStart w:id="17" w:name="page18"/>
    <w:bookmarkEnd w:id="17"/>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796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b w:val="1"/>
          <w:bCs w:val="1"/>
          <w:color w:val="auto"/>
        </w:rPr>
        <w:t>Q: How will SpinCo be financed?</w:t>
      </w:r>
    </w:p>
    <w:p>
      <w:pPr>
        <w:spacing w:after="0" w:line="162" w:lineRule="exact"/>
        <w:rPr>
          <w:sz w:val="20"/>
          <w:szCs w:val="20"/>
          <w:color w:val="auto"/>
        </w:rPr>
      </w:pPr>
    </w:p>
    <w:p>
      <w:pPr>
        <w:ind w:left="328" w:right="100" w:hanging="328"/>
        <w:spacing w:after="0" w:line="238" w:lineRule="auto"/>
        <w:tabs>
          <w:tab w:leader="none" w:pos="3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of the Distribution, Pfizer or an affiliate of Pfizer will advance to RemainCo an amount equal to the remainder of $275 million, minus the sum of the amount of marketable securities and cash and cash equivalents contained in any accounts held by SpinCo as of the close of business on the day prior to the date of the Distribution, and RemainCo will contribute such funding to SpinCo. SpinCo’s liabilities under the Distribution Agreement include payment of certain expenses of the Spin-Off and Merger, which amounts will be deducted from the cash paid by Pfizer to RemainCo immediately prior to the effective time of the Distribution. Such expenses are currently estimated at $5.8 million. RemainCo and Pfizer also entered into a side letter, which provided that the SpinCo funding amount will also be reduced by approximately $4 million in connection with the purchase by the Company of shares of capital stock of Artizan Biosciences Inc., and by approximately $7.4 million of transaction expenses allocated to SpinCo. Following the payment of SpinCo expenses, deductions and adjustments described above, we anticipate that SpinCo will have approximately $257.8 million in cash as of the Distribution date.</w:t>
      </w:r>
    </w:p>
    <w:p>
      <w:pPr>
        <w:spacing w:after="0" w:line="148" w:lineRule="exact"/>
        <w:rPr>
          <w:sz w:val="20"/>
          <w:szCs w:val="20"/>
          <w:color w:val="auto"/>
        </w:rPr>
      </w:pPr>
    </w:p>
    <w:p>
      <w:pPr>
        <w:ind w:left="328"/>
        <w:spacing w:after="0" w:line="261" w:lineRule="auto"/>
        <w:rPr>
          <w:sz w:val="20"/>
          <w:szCs w:val="20"/>
          <w:color w:val="auto"/>
        </w:rPr>
      </w:pPr>
      <w:r>
        <w:rPr>
          <w:rFonts w:ascii="Times New Roman" w:cs="Times New Roman" w:eastAsia="Times New Roman" w:hAnsi="Times New Roman"/>
          <w:sz w:val="18"/>
          <w:szCs w:val="18"/>
          <w:color w:val="auto"/>
        </w:rPr>
        <w:t>Following the Spin-Off, RemainCo will be required to make certain tiered royalty payments at percentage rates in the low-tens to mid-teens to SpinCo in respect of aggregate annual net sales of rimegepant and zavegepant in the U.S. in excess of $5.25 billion, subject to an annual cap on royalties of $400 million per year (which cap will be reached if the aggregate annual net sales of rimegepant and zavegepant in the United States amount to $8.15 billion), for all years ended on or prior to December 31, 2040.</w:t>
      </w:r>
    </w:p>
    <w:p>
      <w:pPr>
        <w:spacing w:after="0" w:line="122" w:lineRule="exact"/>
        <w:rPr>
          <w:sz w:val="20"/>
          <w:szCs w:val="20"/>
          <w:color w:val="auto"/>
        </w:rPr>
      </w:pPr>
    </w:p>
    <w:p>
      <w:pPr>
        <w:ind w:left="388" w:hanging="388"/>
        <w:spacing w:after="0"/>
        <w:tabs>
          <w:tab w:leader="none" w:pos="38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SpinCo intend to pay cash dividends?</w:t>
      </w:r>
    </w:p>
    <w:p>
      <w:pPr>
        <w:spacing w:after="0" w:line="175" w:lineRule="exact"/>
        <w:rPr>
          <w:sz w:val="20"/>
          <w:szCs w:val="20"/>
          <w:color w:val="auto"/>
        </w:rPr>
      </w:pPr>
    </w:p>
    <w:p>
      <w:pPr>
        <w:ind w:left="328" w:right="20" w:hanging="328"/>
        <w:spacing w:after="0" w:line="282" w:lineRule="auto"/>
        <w:tabs>
          <w:tab w:leader="none" w:pos="3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do not expect to pay any cash dividends on our common shares in the foreseeable future. All decisions regarding the payment of dividends will be made by our Board of Directors from time to time in accordance with applicable law.</w:t>
      </w:r>
    </w:p>
    <w:p>
      <w:pPr>
        <w:spacing w:after="0" w:line="104" w:lineRule="exact"/>
        <w:rPr>
          <w:sz w:val="20"/>
          <w:szCs w:val="20"/>
          <w:color w:val="auto"/>
        </w:rPr>
      </w:pPr>
    </w:p>
    <w:p>
      <w:pPr>
        <w:ind w:left="388" w:hanging="388"/>
        <w:spacing w:after="0"/>
        <w:tabs>
          <w:tab w:leader="none" w:pos="38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SpinCo common shares trade?</w:t>
      </w:r>
    </w:p>
    <w:p>
      <w:pPr>
        <w:spacing w:after="0" w:line="175" w:lineRule="exact"/>
        <w:rPr>
          <w:sz w:val="20"/>
          <w:szCs w:val="20"/>
          <w:color w:val="auto"/>
        </w:rPr>
      </w:pPr>
    </w:p>
    <w:p>
      <w:pPr>
        <w:ind w:left="328" w:right="20" w:hanging="328"/>
        <w:spacing w:after="0" w:line="266" w:lineRule="auto"/>
        <w:tabs>
          <w:tab w:leader="none" w:pos="3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currently a public market for our common shares. We will apply to list our common shares on NYSE under the symbol “BHVN.” It is anticipated that trading will commence on a when-issued basis prior to the Distribution. On the first trading day following the Distribution date, when-issued trading in respect of our common shares will end and regular-way trading will begin.</w:t>
      </w:r>
    </w:p>
    <w:p>
      <w:pPr>
        <w:spacing w:after="0" w:line="118" w:lineRule="exact"/>
        <w:rPr>
          <w:sz w:val="20"/>
          <w:szCs w:val="20"/>
          <w:color w:val="auto"/>
        </w:rPr>
      </w:pPr>
    </w:p>
    <w:p>
      <w:pPr>
        <w:ind w:left="388" w:hanging="388"/>
        <w:spacing w:after="0"/>
        <w:tabs>
          <w:tab w:leader="none" w:pos="38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RemainCo common shares trade between the record date and the Distribution date?</w:t>
      </w:r>
    </w:p>
    <w:p>
      <w:pPr>
        <w:spacing w:after="0" w:line="162" w:lineRule="exact"/>
        <w:rPr>
          <w:sz w:val="20"/>
          <w:szCs w:val="20"/>
          <w:color w:val="auto"/>
        </w:rPr>
      </w:pPr>
    </w:p>
    <w:p>
      <w:pPr>
        <w:ind w:left="328" w:right="80" w:hanging="328"/>
        <w:spacing w:after="0" w:line="254" w:lineRule="auto"/>
        <w:tabs>
          <w:tab w:leader="none" w:pos="3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Beginning on September 23, 2022, and continuing until the occurrence of the Distribution on the Distribution date, RemainCo common shares will trade with an entitlement to the Distribution under the symbol “BHVN”. Any holders of RemainCo common shares who sell shares on or before the Distribution date will also be selling their right to receive SpinCo common shares. Investors are encouraged to consult with their financial advisors regarding the specific implications of buying or selling RemainCo common shares on or before the Distribution date. The combined trading prices of RemainCo common shares and SpinCo common shares after the Distribution may be lower than the trading price of RemainCo common shares prior to the Distribution. See “Risk Factors” beginning on page </w:t>
      </w:r>
      <w:r>
        <w:rPr>
          <w:rFonts w:ascii="Times New Roman" w:cs="Times New Roman" w:eastAsia="Times New Roman" w:hAnsi="Times New Roman"/>
          <w:sz w:val="17"/>
          <w:szCs w:val="17"/>
          <w:u w:val="single" w:color="auto"/>
          <w:color w:val="0000FF"/>
        </w:rPr>
        <w:t>15</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388" w:hanging="388"/>
        <w:spacing w:after="0"/>
        <w:tabs>
          <w:tab w:leader="none" w:pos="38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w:t>
      </w:r>
    </w:p>
    <w:p>
      <w:pPr>
        <w:spacing w:after="0" w:line="175" w:lineRule="exact"/>
        <w:rPr>
          <w:sz w:val="20"/>
          <w:szCs w:val="20"/>
          <w:color w:val="auto"/>
        </w:rPr>
      </w:pPr>
    </w:p>
    <w:p>
      <w:pPr>
        <w:ind w:left="368" w:hanging="368"/>
        <w:spacing w:after="0"/>
        <w:tabs>
          <w:tab w:leader="none" w:pos="3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RemainCo common shares are not entitled to appraisal rights in connection with the Distribution.</w:t>
      </w:r>
    </w:p>
    <w:p>
      <w:pPr>
        <w:spacing w:after="0" w:line="167"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tab/>
        <w:t>Who is the transfer agent for SpinCo common shares?</w:t>
      </w:r>
    </w:p>
    <w:p>
      <w:pPr>
        <w:spacing w:after="0" w:line="175" w:lineRule="exact"/>
        <w:rPr>
          <w:sz w:val="20"/>
          <w:szCs w:val="20"/>
          <w:color w:val="auto"/>
        </w:rPr>
      </w:pPr>
    </w:p>
    <w:p>
      <w:pPr>
        <w:ind w:left="8"/>
        <w:spacing w:after="0"/>
        <w:tabs>
          <w:tab w:leader="none" w:pos="328"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American Stock Transfer &amp; Trust Company, LLC will be the transfer agent for SpinCo common shares.</w:t>
      </w:r>
    </w:p>
    <w:p>
      <w:pPr>
        <w:spacing w:after="0" w:line="167"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get more information?</w:t>
      </w:r>
    </w:p>
    <w:p>
      <w:pPr>
        <w:spacing w:after="0" w:line="175" w:lineRule="exact"/>
        <w:rPr>
          <w:sz w:val="20"/>
          <w:szCs w:val="20"/>
          <w:color w:val="auto"/>
        </w:rPr>
      </w:pPr>
    </w:p>
    <w:p>
      <w:pPr>
        <w:ind w:left="368" w:hanging="368"/>
        <w:spacing w:after="0"/>
        <w:tabs>
          <w:tab w:leader="none" w:pos="3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of SpinCo common shares, you should contact the distribution agent: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American Stock Transfer &amp; Trust Company, LLC, 6201 15th Ave, Brooklyn, NY 11219. Telephone: (800) 937-5449. Corporate website:</w:t>
      </w:r>
    </w:p>
    <w:p>
      <w:pPr>
        <w:spacing w:after="0" w:line="3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www.astfinancial.com</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If you have any other questions relating to the Distribution or SpinCo, you should contact: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Biohaven Pharmaceutical Holding Company Ltd.</w:t>
      </w:r>
    </w:p>
    <w:p>
      <w:pPr>
        <w:sectPr>
          <w:pgSz w:w="11900" w:h="16838" w:orient="portrait"/>
          <w:cols w:equalWidth="0" w:num="1">
            <w:col w:w="10208"/>
          </w:cols>
          <w:pgMar w:left="832"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08"/>
          </w:cols>
          <w:pgMar w:left="832" w:top="1440" w:right="85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1435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7136130" cy="143573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Church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Connecticut 06510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(203) 404-0410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299"/>
          </w:cols>
          <w:pgMar w:left="116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985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 SUMMARY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of the information contained in this information statement. This summary is included for convenience only and should not be considered complete. This summary is qualified in its entirety by more detailed information contained elsewhere in this information statement, which should be read in its entirety. Please refer to the section entitled “Risk Factors” for a discussion of risks related to SpinCo and the Distribution.</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the context otherwise requires, all references to “we”, “us”, “our”, “SpinCo” or the “Company” refer to Biohaven Ltd. and its subsidiaries. Where we describe our business activities in this information statement, we do so as if the transfer of the Kv7 ion channel activator, glutamate modulation, MPO inhibition and myostatin inhibition platforms, preclinical product candidates, and certain corporate infrastructure currently owned by RemainCo to SpinCo has already occurred. All references to “Pfizer” refer to Pfizer Inc., a Delaware corporation. The Merger Agreement provides for the acquisition by Pfizer of RemainCo (which we refer to as the “Merger”), which will be accomplished either: (a) if the Merger occurs on or before December 30, 2022, through the merger of Merger Sub with and into RemainCo, with RemainCo continuing as the surviving company (the “Reverse Triangular Merger”) or (b) if the Merger occurs after December 30, 2022, then, at Pfizer’s discretion, either (i) through the Reverse Triangular Merger or (ii) through the merger of RemainCo with and into Merger Sub, with Merger Sub continuing as the surviving company. RemainCo or Merger Sub, as applicable, following the completion of the Merger, is sometimes referred to in this information statement as the “Surviving Entity.”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Biohaven Ltd. is a clinical-stage biopharmaceutical company that combines a deep understanding of neuroscience, immunology, disease-related biology, advanced chemistry and expertise in global clinical trials to advance novel therapies for patients. Our experienced management team brings with it a proven track record of delivering new drug approvals for products for diseases such as migraine and schizophrenia, and our research programs, built on a deep understanding of disease-related biology and neuropharmacology, are advancing novel therapies with indications in Spinocerebellar Ataxia (“SCA”), Amyotrophic Lateral Sclerosis (“ALS”), Spinal Muscular Atrophy (“SMA”), epilepsy, depression, Obsessive-Compulsive Disorder (“OCD”) and neuropathic pain. Our Neuroinnovation portfolio includes a broad pipeline of drug candidates modulating distinct nervous system targets, including Kv7 ion channels (“Kv7”), glutamate receptors, myeloperoxidase (“MPO”), myostatin, and Transient Receptor Potential (“TRP”) channels.</w:t>
      </w:r>
    </w:p>
    <w:p>
      <w:pPr>
        <w:spacing w:after="0" w:line="13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are advancing our broad and diverse pipeline with at least five clinical trials currently underway or expected to start by the end of 2022. We have built a highly experienced team of senior leaders and neuroscience drug developers who combine a nimble, results-driven biotech mindset with capabilities in drug discovery and development. In addition, we have several preclinical assets in our early discovery program, Biohaven Labs, targeting neuroscience and immunology indications.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net losses for the fiscal years ended December 31, 2021 and 2020 were $213.8 million and $118.7 million, respectively. Our net losses for the six months ended June 30, 2022 and 2021 were $300.3 million and $107.5 million, respectively. Our net losses reflect the early-stage (pre-revenue) nature of our clinical-stage biopharmaceutical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some of our key clinical programs in addition to upcoming clinical development milestones for our product candidates. We hold the worldwide rights to all of our product candidates. See the section entitled “Business” included in this information statement for an in-depth discussion of our development programs and product candidates.</w:t>
      </w:r>
    </w:p>
    <w:p>
      <w:pPr>
        <w:sectPr>
          <w:pgSz w:w="11900" w:h="16838" w:orient="portrait"/>
          <w:cols w:equalWidth="0" w:num="1">
            <w:col w:w="10200"/>
          </w:cols>
          <w:pgMar w:left="84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200"/>
          </w:cols>
          <w:pgMar w:left="840" w:top="1440" w:right="859" w:bottom="1440" w:gutter="0" w:footer="0" w:header="0"/>
          <w:type w:val="continuous"/>
        </w:sectPr>
      </w:pPr>
    </w:p>
    <w:bookmarkStart w:id="20" w:name="page21"/>
    <w:bookmarkEnd w:id="20"/>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29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goal is to become a leader in the development of innovative therapies for neurological and immunoscience diseases that have the potential to change current treatment paradigms. The key elements of our strategy to achieve this goal include:</w:t>
      </w:r>
    </w:p>
    <w:p>
      <w:pPr>
        <w:spacing w:after="0" w:line="104" w:lineRule="exact"/>
        <w:rPr>
          <w:sz w:val="20"/>
          <w:szCs w:val="20"/>
          <w:color w:val="auto"/>
        </w:rPr>
      </w:pPr>
    </w:p>
    <w:p>
      <w:pPr>
        <w:ind w:left="640" w:right="140" w:hanging="324"/>
        <w:spacing w:after="0" w:line="282"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Establish our position as a leader in neuroscience drug discovery and development through the advancement of a diverse and innovative pipeline. </w:t>
      </w:r>
      <w:r>
        <w:rPr>
          <w:rFonts w:ascii="Times New Roman" w:cs="Times New Roman" w:eastAsia="Times New Roman" w:hAnsi="Times New Roman"/>
          <w:sz w:val="17"/>
          <w:szCs w:val="17"/>
          <w:color w:val="auto"/>
        </w:rPr>
        <w:t>We leverage our differentiated understanding of neuroscience as well as our proven innovative clinical trial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 and execution to develop our assets across multiple indications. In addition, we are investing in future areas of neuroscience and immunoscience research, including the discovery and development of compounds with disease-modifying potential.</w:t>
      </w:r>
    </w:p>
    <w:p>
      <w:pPr>
        <w:spacing w:after="0" w:line="107" w:lineRule="exact"/>
        <w:rPr>
          <w:rFonts w:ascii="Times New Roman" w:cs="Times New Roman" w:eastAsia="Times New Roman" w:hAnsi="Times New Roman"/>
          <w:sz w:val="17"/>
          <w:szCs w:val="17"/>
          <w:color w:val="auto"/>
        </w:rPr>
      </w:pPr>
    </w:p>
    <w:p>
      <w:pPr>
        <w:ind w:left="640" w:right="300" w:hanging="324"/>
        <w:spacing w:after="0" w:line="268"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our clinical-stage neurology and neuropsychiatry assets, with at least five clinical trials either underway or expected to start by the end of 2022. </w:t>
      </w:r>
      <w:r>
        <w:rPr>
          <w:rFonts w:ascii="Times New Roman" w:cs="Times New Roman" w:eastAsia="Times New Roman" w:hAnsi="Times New Roman"/>
          <w:sz w:val="18"/>
          <w:szCs w:val="18"/>
          <w:color w:val="auto"/>
        </w:rPr>
        <w:t>We are expecting to conduct our first in human studies of BHV-7000 in mid-2022 and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successful completion will be followed by a pivotal trial in patients with focal epilepsy in 2023.</w:t>
      </w:r>
    </w:p>
    <w:p>
      <w:pPr>
        <w:spacing w:after="0" w:line="116" w:lineRule="exact"/>
        <w:rPr>
          <w:rFonts w:ascii="Times New Roman" w:cs="Times New Roman" w:eastAsia="Times New Roman" w:hAnsi="Times New Roman"/>
          <w:sz w:val="18"/>
          <w:szCs w:val="18"/>
          <w:color w:val="auto"/>
        </w:rPr>
      </w:pPr>
    </w:p>
    <w:p>
      <w:pPr>
        <w:jc w:val="both"/>
        <w:ind w:left="640" w:right="60" w:hanging="324"/>
        <w:spacing w:after="0" w:line="268"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our preclinical portfolio across multiple neuroscience and immunoscience indications. </w:t>
      </w:r>
      <w:r>
        <w:rPr>
          <w:rFonts w:ascii="Times New Roman" w:cs="Times New Roman" w:eastAsia="Times New Roman" w:hAnsi="Times New Roman"/>
          <w:sz w:val="18"/>
          <w:szCs w:val="18"/>
          <w:color w:val="auto"/>
        </w:rPr>
        <w:t>Our preclinical pipeline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molecular degraders of extracellular proteins, TDP-43 targeting small molecules, and other undisclosed targets, including those with disease-modifying potential.</w:t>
      </w:r>
    </w:p>
    <w:p>
      <w:pPr>
        <w:spacing w:after="0" w:line="116" w:lineRule="exact"/>
        <w:rPr>
          <w:rFonts w:ascii="Times New Roman" w:cs="Times New Roman" w:eastAsia="Times New Roman" w:hAnsi="Times New Roman"/>
          <w:sz w:val="18"/>
          <w:szCs w:val="18"/>
          <w:color w:val="auto"/>
        </w:rPr>
      </w:pPr>
    </w:p>
    <w:p>
      <w:pPr>
        <w:ind w:left="640" w:right="220" w:hanging="324"/>
        <w:spacing w:after="0" w:line="272"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Efficiently allocate capital to maximize the impact of our assets. </w:t>
      </w:r>
      <w:r>
        <w:rPr>
          <w:rFonts w:ascii="Times New Roman" w:cs="Times New Roman" w:eastAsia="Times New Roman" w:hAnsi="Times New Roman"/>
          <w:sz w:val="17"/>
          <w:szCs w:val="17"/>
          <w:color w:val="auto"/>
        </w:rPr>
        <w:t>We seek to efficiently allocate capital with the goal of step-wise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creation: driving speed to proof-of-principle, speed to proof-of-concept and speed to market. For example, our early-stage clinical trials are designed to elucidate the potential of our compounds and inform future clinical trials, thereby strengthening our probability of success and our efficiency in bringing our therapies to patients. We aim to be resource- and capital-efficient in the development of our product candidates by selectively accessing complementary expertise and infrastructure through strategic partnerships or other collaborations. We believe that our drug development team with particular experience in neuroscience and immunoscience have a differential ability to identify high-potential assets for acquisition or in-licensing to unlock their full value. We plan to opportunistically pursue such assets from time to time and strategically expand our portfolio.</w:t>
      </w:r>
    </w:p>
    <w:p>
      <w:pPr>
        <w:spacing w:after="0" w:line="117" w:lineRule="exact"/>
        <w:rPr>
          <w:rFonts w:ascii="Times New Roman" w:cs="Times New Roman" w:eastAsia="Times New Roman" w:hAnsi="Times New Roman"/>
          <w:sz w:val="17"/>
          <w:szCs w:val="17"/>
          <w:color w:val="auto"/>
        </w:rPr>
      </w:pPr>
    </w:p>
    <w:p>
      <w:pPr>
        <w:ind w:left="640" w:hanging="324"/>
        <w:spacing w:after="0" w:line="259"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Opportunistically match sources and uses of capital. </w:t>
      </w:r>
      <w:r>
        <w:rPr>
          <w:rFonts w:ascii="Times New Roman" w:cs="Times New Roman" w:eastAsia="Times New Roman" w:hAnsi="Times New Roman"/>
          <w:sz w:val="18"/>
          <w:szCs w:val="18"/>
          <w:color w:val="auto"/>
        </w:rPr>
        <w:t>Our broad portfolio both requires and provides a basis for diverse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We will seek to maximize growth opportunities, which may include raising additional capital through a combination of private or public equity offerings, debt financings, collaborations, strategic alliances, marketing, distribution or licensing arrangements with third parties or through other sources of financing. By matching sources and uses of capital, we can maximize our value creation opportunities while mitigating operational risk through partnerships.</w:t>
      </w:r>
    </w:p>
    <w:p>
      <w:pPr>
        <w:spacing w:after="0" w:line="125" w:lineRule="exact"/>
        <w:rPr>
          <w:rFonts w:ascii="Times New Roman" w:cs="Times New Roman" w:eastAsia="Times New Roman" w:hAnsi="Times New Roman"/>
          <w:sz w:val="18"/>
          <w:szCs w:val="18"/>
          <w:color w:val="auto"/>
        </w:rPr>
      </w:pPr>
    </w:p>
    <w:p>
      <w:pPr>
        <w:ind w:left="640" w:right="20" w:hanging="324"/>
        <w:spacing w:after="0" w:line="259"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commercial potential of our product candidates and bring new therapies to underserved patient populations.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commercialization strategy will be driven by our understanding of existing treatment paradigms along with patient, physician and payor needs. We expect to build a focused and efficient medical affairs and commercial organization to maximize the commercial potential of our portfolio. Our current plan is to commercialize our product candidates, if approved, in the United States and international markets, either alone or in collaboration with others.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 and Corporate History</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assembled a seasoned management team with expertise in clinical research, development, regulatory affairs, medical affairs, operations, manufacturing, commercialization and financing. Our team includes industry veterans who have collectively driven numerous drug approvals, with prior experience at large pharmaceutical companies and a demonstrated ability to operate in smaller, more efficient organizations to drive value for investors. We have an experienced research and development team focused on utilizing our differentiated understanding of the complexity of human drug development including an advanced understanding of neuroscience and immunoscience, receptor pharmacology and genetics that underlie many diseases. This allows us to develop investigational agents with target selectivity and indication-appropriate pharmacology, which we believe are key to enhancing activity and improving tolerability in the treatment of these diseases. We believe that the distinctive combination of our proven management team and our existing pipeline has the potential to bring to patients the next generation of transformative neuroscience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0"/>
          </w:cols>
          <w:pgMar w:left="840" w:top="1440" w:right="839" w:bottom="1440" w:gutter="0" w:footer="0" w:header="0"/>
        </w:sectPr>
      </w:pPr>
    </w:p>
    <w:bookmarkStart w:id="21" w:name="page22"/>
    <w:bookmarkEnd w:id="21"/>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950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136130" cy="795083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5" w:lineRule="exact"/>
        <w:rPr>
          <w:sz w:val="20"/>
          <w:szCs w:val="20"/>
          <w:color w:val="auto"/>
        </w:rPr>
      </w:pPr>
    </w:p>
    <w:p>
      <w:pPr>
        <w:jc w:val="both"/>
        <w:ind w:left="8" w:right="180"/>
        <w:spacing w:after="0" w:line="289" w:lineRule="auto"/>
        <w:rPr>
          <w:sz w:val="20"/>
          <w:szCs w:val="20"/>
          <w:color w:val="auto"/>
        </w:rPr>
      </w:pPr>
      <w:r>
        <w:rPr>
          <w:rFonts w:ascii="Times New Roman" w:cs="Times New Roman" w:eastAsia="Times New Roman" w:hAnsi="Times New Roman"/>
          <w:sz w:val="17"/>
          <w:szCs w:val="17"/>
          <w:color w:val="auto"/>
        </w:rPr>
        <w:t>An investment in SpinCo’s common shares is subject to a number of risks, including risks related to our product candidates, risks related to the separation and distribution, risks related to our business and risks related to our common shares. The following list of risk factors is not exhaustive. Please read the information in the section captioned “Risk Factors” for a more thorough description of these and other risks.</w:t>
      </w:r>
    </w:p>
    <w:p>
      <w:pPr>
        <w:spacing w:after="0" w:line="10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21" w:lineRule="exact"/>
        <w:rPr>
          <w:sz w:val="20"/>
          <w:szCs w:val="20"/>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entirely on the success of a limited number of product candidates.</w:t>
      </w:r>
    </w:p>
    <w:p>
      <w:pPr>
        <w:spacing w:after="0" w:line="117" w:lineRule="exact"/>
        <w:rPr>
          <w:rFonts w:ascii="Times New Roman" w:cs="Times New Roman" w:eastAsia="Times New Roman" w:hAnsi="Times New Roman"/>
          <w:sz w:val="18"/>
          <w:szCs w:val="18"/>
          <w:color w:val="auto"/>
        </w:rPr>
      </w:pPr>
    </w:p>
    <w:p>
      <w:pPr>
        <w:ind w:left="648" w:right="100" w:hanging="324"/>
        <w:spacing w:after="0" w:line="266"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 consuming and difficult to design and implement and involve uncertain outcomes. The results of clinical trials may not be predictive of results of future trials, and any delays, suspensions or terminations of clinical trials could increase our expenses.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in the U.S. and foreign jurisdictions are lengthy, time consuming and unpredictable.</w:t>
      </w:r>
    </w:p>
    <w:p>
      <w:pPr>
        <w:spacing w:after="0" w:line="117" w:lineRule="exact"/>
        <w:rPr>
          <w:rFonts w:ascii="Times New Roman" w:cs="Times New Roman" w:eastAsia="Times New Roman" w:hAnsi="Times New Roman"/>
          <w:sz w:val="18"/>
          <w:szCs w:val="18"/>
          <w:color w:val="auto"/>
        </w:rPr>
      </w:pPr>
    </w:p>
    <w:p>
      <w:pPr>
        <w:ind w:left="648" w:right="200" w:hanging="324"/>
        <w:spacing w:after="0" w:line="282"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to demonstrate safety and efficacy in clinical trials, or may cause serious adverse or unacceptable side effects.</w:t>
      </w:r>
    </w:p>
    <w:p>
      <w:pPr>
        <w:spacing w:after="0" w:line="53" w:lineRule="exact"/>
        <w:rPr>
          <w:rFonts w:ascii="Times New Roman" w:cs="Times New Roman" w:eastAsia="Times New Roman" w:hAnsi="Times New Roman"/>
          <w:sz w:val="18"/>
          <w:szCs w:val="18"/>
          <w:color w:val="auto"/>
        </w:rPr>
      </w:pPr>
    </w:p>
    <w:p>
      <w:pPr>
        <w:ind w:left="648" w:right="440" w:hanging="324"/>
        <w:spacing w:after="0" w:line="282"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approved product candidates is discovered to be less effective than previously believed or causes undesirable side effects previously unidentified, our ability to market the drug could be compromised.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which may not be covered by insurance.</w:t>
      </w:r>
    </w:p>
    <w:p>
      <w:pPr>
        <w:spacing w:after="0" w:line="11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75" w:lineRule="exact"/>
        <w:rPr>
          <w:rFonts w:ascii="Times New Roman" w:cs="Times New Roman" w:eastAsia="Times New Roman" w:hAnsi="Times New Roman"/>
          <w:sz w:val="18"/>
          <w:szCs w:val="18"/>
          <w:color w:val="auto"/>
        </w:rPr>
      </w:pPr>
    </w:p>
    <w:p>
      <w:pPr>
        <w:ind w:left="648" w:right="220" w:hanging="324"/>
        <w:spacing w:after="0" w:line="282"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and may lack the necessary expertise, personnel and resources to successfully commercialize any of our product candidates that may receive regulatory approval.</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w:t>
      </w:r>
    </w:p>
    <w:p>
      <w:pPr>
        <w:spacing w:after="0" w:line="117" w:lineRule="exact"/>
        <w:rPr>
          <w:rFonts w:ascii="Times New Roman" w:cs="Times New Roman" w:eastAsia="Times New Roman" w:hAnsi="Times New Roman"/>
          <w:sz w:val="18"/>
          <w:szCs w:val="18"/>
          <w:color w:val="auto"/>
        </w:rPr>
      </w:pPr>
    </w:p>
    <w:p>
      <w:pPr>
        <w:ind w:left="648" w:right="240" w:hanging="324"/>
        <w:spacing w:after="0" w:line="282"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adequate coverage and reimbursement for our approved product candidates could limit our ability to market those products and decrease our ability to generate revenue.</w:t>
      </w:r>
    </w:p>
    <w:p>
      <w:pPr>
        <w:spacing w:after="0" w:line="53"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will be subject to ongoing regulatory oversight, even if regulatory approval is obtained.</w:t>
      </w:r>
    </w:p>
    <w:p>
      <w:pPr>
        <w:spacing w:after="0" w:line="117"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approved product candidates may fail to achieve the degree of market acceptance by physicians, patients, third-party payors and others in the medical community necessary for commercial success.</w:t>
      </w:r>
    </w:p>
    <w:p>
      <w:pPr>
        <w:spacing w:after="0" w:line="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Risks Related to the Distribution</w:t>
      </w:r>
    </w:p>
    <w:p>
      <w:pPr>
        <w:spacing w:after="0" w:line="121" w:lineRule="exact"/>
        <w:rPr>
          <w:sz w:val="20"/>
          <w:szCs w:val="20"/>
          <w:color w:val="auto"/>
        </w:rPr>
      </w:pPr>
    </w:p>
    <w:p>
      <w:pPr>
        <w:jc w:val="both"/>
        <w:ind w:left="648" w:right="220" w:hanging="324"/>
        <w:spacing w:after="0" w:line="266"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not been any public market for our common shares, the market price and trading volume of our common shares may be volatile and you may not be able to resell your shares at or above the initial market price of our common shares following the Distribution.</w:t>
      </w:r>
    </w:p>
    <w:p>
      <w:pPr>
        <w:spacing w:after="0" w:line="67" w:lineRule="exact"/>
        <w:rPr>
          <w:rFonts w:ascii="Times New Roman" w:cs="Times New Roman" w:eastAsia="Times New Roman" w:hAnsi="Times New Roman"/>
          <w:sz w:val="18"/>
          <w:szCs w:val="18"/>
          <w:color w:val="auto"/>
        </w:rPr>
      </w:pPr>
    </w:p>
    <w:p>
      <w:pPr>
        <w:ind w:left="648" w:hanging="324"/>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RemainCo were a passive foreign investment company there could be adverse U.S. federal income tax consequences to U.S. holders.</w:t>
      </w:r>
    </w:p>
    <w:p>
      <w:pPr>
        <w:spacing w:after="0" w:line="53" w:lineRule="exact"/>
        <w:rPr>
          <w:rFonts w:ascii="Times New Roman" w:cs="Times New Roman" w:eastAsia="Times New Roman" w:hAnsi="Times New Roman"/>
          <w:sz w:val="18"/>
          <w:szCs w:val="18"/>
          <w:color w:val="auto"/>
        </w:rPr>
      </w:pPr>
    </w:p>
    <w:p>
      <w:pPr>
        <w:ind w:left="648" w:right="40" w:hanging="324"/>
        <w:spacing w:after="0" w:line="266"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intends to take the position that the Distribution will be taxable, and holders of RemainCo common shares will recognize taxable income, and the resulting tax liability to holders of RemainCo common shares may exceed the amount of cash received in the Distribution.</w:t>
      </w:r>
    </w:p>
    <w:p>
      <w:pPr>
        <w:spacing w:after="0" w:line="67" w:lineRule="exact"/>
        <w:rPr>
          <w:rFonts w:ascii="Times New Roman" w:cs="Times New Roman" w:eastAsia="Times New Roman" w:hAnsi="Times New Roman"/>
          <w:sz w:val="18"/>
          <w:szCs w:val="18"/>
          <w:color w:val="auto"/>
        </w:rPr>
      </w:pPr>
    </w:p>
    <w:p>
      <w:pPr>
        <w:ind w:left="648" w:right="540" w:hanging="324"/>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results as a part of RemainCo and our unaudited pro forma combined financial statements may not be representative of our results as a separate, stand-alone company.</w:t>
      </w:r>
    </w:p>
    <w:p>
      <w:pPr>
        <w:spacing w:after="0" w:line="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21" w:lineRule="exact"/>
        <w:rPr>
          <w:sz w:val="20"/>
          <w:szCs w:val="20"/>
          <w:color w:val="auto"/>
        </w:rPr>
      </w:pPr>
    </w:p>
    <w:p>
      <w:pPr>
        <w:ind w:left="648" w:right="260" w:hanging="324"/>
        <w:spacing w:after="0" w:line="266"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operating losses since inception as a business of RemainCo and anticipate that we will continue to incur substantial operating losses for the foreseeable future and may never achieve or maintain profitability.</w:t>
      </w:r>
    </w:p>
    <w:p>
      <w:pPr>
        <w:spacing w:after="0" w:line="67" w:lineRule="exact"/>
        <w:rPr>
          <w:rFonts w:ascii="Times New Roman" w:cs="Times New Roman" w:eastAsia="Times New Roman" w:hAnsi="Times New Roman"/>
          <w:sz w:val="18"/>
          <w:szCs w:val="18"/>
          <w:color w:val="auto"/>
        </w:rPr>
      </w:pPr>
    </w:p>
    <w:p>
      <w:pPr>
        <w:ind w:left="648" w:right="340" w:hanging="324"/>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raise capital when needed or on terms favorable to us could force us to curtail our planned operations and growth strategy.</w:t>
      </w:r>
    </w:p>
    <w:p>
      <w:pPr>
        <w:sectPr>
          <w:pgSz w:w="11900" w:h="16838" w:orient="portrait"/>
          <w:cols w:equalWidth="0" w:num="1">
            <w:col w:w="10208"/>
          </w:cols>
          <w:pgMar w:left="832"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208"/>
          </w:cols>
          <w:pgMar w:left="832" w:top="1440" w:right="859" w:bottom="1440" w:gutter="0" w:footer="0" w:header="0"/>
          <w:type w:val="continuous"/>
        </w:sectPr>
      </w:pPr>
    </w:p>
    <w:bookmarkStart w:id="22" w:name="page23"/>
    <w:bookmarkEnd w:id="2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470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21" w:lineRule="exact"/>
        <w:rPr>
          <w:sz w:val="20"/>
          <w:szCs w:val="20"/>
          <w:color w:val="auto"/>
        </w:rPr>
      </w:pPr>
    </w:p>
    <w:p>
      <w:pPr>
        <w:ind w:left="324" w:right="180" w:hanging="324"/>
        <w:spacing w:after="0" w:line="282" w:lineRule="auto"/>
        <w:tabs>
          <w:tab w:leader="none" w:pos="3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clinical trials and to supply, manufacture and distribute clinical drug supplies for our product candidates, which may expose our business to risks.</w:t>
      </w:r>
    </w:p>
    <w:p>
      <w:pPr>
        <w:spacing w:after="0" w:line="10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establish or maintain collaborations with third parties to develop or commercialize product candidates.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21" w:lineRule="exact"/>
        <w:rPr>
          <w:sz w:val="20"/>
          <w:szCs w:val="20"/>
          <w:color w:val="auto"/>
        </w:rPr>
      </w:pPr>
    </w:p>
    <w:p>
      <w:pPr>
        <w:ind w:left="324" w:right="320" w:hanging="324"/>
        <w:spacing w:after="0" w:line="282"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of and commercialize our product candidates and may affect the prices we may set.</w:t>
      </w:r>
    </w:p>
    <w:p>
      <w:pPr>
        <w:spacing w:after="0" w:line="53" w:lineRule="exact"/>
        <w:rPr>
          <w:rFonts w:ascii="Times New Roman" w:cs="Times New Roman" w:eastAsia="Times New Roman" w:hAnsi="Times New Roman"/>
          <w:sz w:val="18"/>
          <w:szCs w:val="18"/>
          <w:color w:val="auto"/>
        </w:rPr>
      </w:pPr>
    </w:p>
    <w:p>
      <w:pPr>
        <w:ind w:left="324" w:hanging="324"/>
        <w:spacing w:after="0" w:line="266"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relationships with investigators, health care professionals, consultants, third-party payors and customers are subject, directly or indirectly, to federal and state healthcare fraud and abuse laws, false claims laws, health information privacy and security laws, and other healthcare laws and regulations.</w:t>
      </w:r>
    </w:p>
    <w:p>
      <w:pPr>
        <w:spacing w:after="0" w:line="6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orphan drug designation or exclusivity for our product candidates.</w:t>
      </w:r>
    </w:p>
    <w:p>
      <w:pPr>
        <w:spacing w:after="0" w:line="1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left="324" w:hanging="324"/>
        <w:spacing w:after="0"/>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market exclusivity earlier than expected.</w:t>
      </w:r>
    </w:p>
    <w:p>
      <w:pPr>
        <w:spacing w:after="0" w:line="117" w:lineRule="exact"/>
        <w:rPr>
          <w:rFonts w:ascii="Times New Roman" w:cs="Times New Roman" w:eastAsia="Times New Roman" w:hAnsi="Times New Roman"/>
          <w:sz w:val="18"/>
          <w:szCs w:val="18"/>
          <w:color w:val="auto"/>
        </w:rPr>
      </w:pPr>
    </w:p>
    <w:p>
      <w:pPr>
        <w:ind w:left="324" w:right="20" w:hanging="324"/>
        <w:spacing w:after="0" w:line="266"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licensed intellectual property in our business. If we were unable to obtain licenses from third parties on commercially reasonable terms or lose our rights to such licensed intellectual property, or if our rights are determined to be narrower than we understand them to be, we may not be able to continue developing or commercializing our product candidates.</w:t>
      </w:r>
    </w:p>
    <w:p>
      <w:pPr>
        <w:spacing w:after="0" w:line="67" w:lineRule="exact"/>
        <w:rPr>
          <w:rFonts w:ascii="Times New Roman" w:cs="Times New Roman" w:eastAsia="Times New Roman" w:hAnsi="Times New Roman"/>
          <w:sz w:val="18"/>
          <w:szCs w:val="18"/>
          <w:color w:val="auto"/>
        </w:rPr>
      </w:pPr>
    </w:p>
    <w:p>
      <w:pPr>
        <w:ind w:left="324" w:right="40" w:hanging="324"/>
        <w:spacing w:after="0" w:line="282"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not provide exclusivity for our product candidates for an adequate amount of time to realize sufficient commercial benefits.</w:t>
      </w:r>
    </w:p>
    <w:p>
      <w:pPr>
        <w:spacing w:after="0" w:line="5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to invalidate our patents.</w:t>
      </w:r>
    </w:p>
    <w:p>
      <w:pPr>
        <w:spacing w:after="0" w:line="117" w:lineRule="exact"/>
        <w:rPr>
          <w:rFonts w:ascii="Times New Roman" w:cs="Times New Roman" w:eastAsia="Times New Roman" w:hAnsi="Times New Roman"/>
          <w:sz w:val="18"/>
          <w:szCs w:val="18"/>
          <w:color w:val="auto"/>
        </w:rPr>
      </w:pPr>
    </w:p>
    <w:p>
      <w:pPr>
        <w:ind w:left="324" w:right="220" w:hanging="324"/>
        <w:spacing w:after="0" w:line="282"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negative impact on the success of our business.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21" w:lineRule="exact"/>
        <w:rPr>
          <w:sz w:val="20"/>
          <w:szCs w:val="20"/>
          <w:color w:val="auto"/>
        </w:rPr>
      </w:pPr>
    </w:p>
    <w:p>
      <w:pPr>
        <w:ind w:left="324" w:right="60" w:hanging="324"/>
        <w:spacing w:after="0" w:line="282"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 on, among other things, retaining key personnel and recruiting additional qualified personnel and on our ability to penetrate foreign markets.</w:t>
      </w:r>
    </w:p>
    <w:p>
      <w:pPr>
        <w:spacing w:after="0" w:line="53" w:lineRule="exact"/>
        <w:rPr>
          <w:rFonts w:ascii="Times New Roman" w:cs="Times New Roman" w:eastAsia="Times New Roman" w:hAnsi="Times New Roman"/>
          <w:sz w:val="18"/>
          <w:szCs w:val="18"/>
          <w:color w:val="auto"/>
        </w:rPr>
      </w:pPr>
    </w:p>
    <w:p>
      <w:pPr>
        <w:ind w:left="324" w:right="100" w:hanging="324"/>
        <w:spacing w:after="0" w:line="312" w:lineRule="auto"/>
        <w:tabs>
          <w:tab w:leader="none" w:pos="31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governing our international operations may preclude us from developing, manufacturing and selling certain product candidates and products outside of the United States and require us to develop and implement costly compliance programs.</w:t>
      </w:r>
    </w:p>
    <w:p>
      <w:pPr>
        <w:spacing w:after="0" w:line="3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17" w:lineRule="exact"/>
        <w:rPr>
          <w:rFonts w:ascii="Times New Roman" w:cs="Times New Roman" w:eastAsia="Times New Roman" w:hAnsi="Times New Roman"/>
          <w:sz w:val="18"/>
          <w:szCs w:val="18"/>
          <w:color w:val="auto"/>
        </w:rPr>
      </w:pPr>
    </w:p>
    <w:p>
      <w:pPr>
        <w:ind w:left="324" w:right="340" w:hanging="324"/>
        <w:spacing w:after="0" w:line="282"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collaborators, principal investigators, CROs and vendors may engage in improper activities, including non-compliance with regulatory standards and requirements.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175" w:lineRule="exact"/>
        <w:rPr>
          <w:sz w:val="20"/>
          <w:szCs w:val="20"/>
          <w:color w:val="auto"/>
        </w:rPr>
      </w:pPr>
    </w:p>
    <w:p>
      <w:pPr>
        <w:ind w:left="324" w:right="340" w:hanging="324"/>
        <w:spacing w:after="0" w:line="282"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shares may not develop or be sustained, or be liquid enough for investors to resell our common shares quickly or at the market price.</w:t>
      </w:r>
    </w:p>
    <w:p>
      <w:pPr>
        <w:spacing w:after="0" w:line="53" w:lineRule="exact"/>
        <w:rPr>
          <w:rFonts w:ascii="Times New Roman" w:cs="Times New Roman" w:eastAsia="Times New Roman" w:hAnsi="Times New Roman"/>
          <w:sz w:val="18"/>
          <w:szCs w:val="18"/>
          <w:color w:val="auto"/>
        </w:rPr>
      </w:pPr>
    </w:p>
    <w:p>
      <w:pPr>
        <w:ind w:left="324" w:hanging="324"/>
        <w:spacing w:after="0" w:line="282"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total outstanding shares may be sold freely into the market. This could cause the market price of our common shares to drop significantly, even if our business is doing well.</w:t>
      </w:r>
    </w:p>
    <w:p>
      <w:pPr>
        <w:spacing w:after="0" w:line="53" w:lineRule="exact"/>
        <w:rPr>
          <w:rFonts w:ascii="Times New Roman" w:cs="Times New Roman" w:eastAsia="Times New Roman" w:hAnsi="Times New Roman"/>
          <w:sz w:val="18"/>
          <w:szCs w:val="18"/>
          <w:color w:val="auto"/>
        </w:rPr>
      </w:pPr>
    </w:p>
    <w:p>
      <w:pPr>
        <w:ind w:left="324" w:right="240" w:hanging="324"/>
        <w:spacing w:after="0" w:line="282"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on our common shares in the foreseeable future, capital appreciation, if any, would be your sole source of gain.</w:t>
      </w:r>
    </w:p>
    <w:p>
      <w:pPr>
        <w:spacing w:after="0" w:line="5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shares may be volatile and may fluctuate due to factors beyond our control.</w:t>
      </w:r>
    </w:p>
    <w:p>
      <w:pPr>
        <w:sectPr>
          <w:pgSz w:w="11900" w:h="16838" w:orient="portrait"/>
          <w:cols w:equalWidth="0" w:num="1">
            <w:col w:w="9884"/>
          </w:cols>
          <w:pgMar w:left="1156"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84"/>
          </w:cols>
          <w:pgMar w:left="1156" w:top="1440" w:right="859" w:bottom="1440" w:gutter="0" w:footer="0" w:header="0"/>
          <w:type w:val="continuous"/>
        </w:sectPr>
      </w:pPr>
    </w:p>
    <w:bookmarkStart w:id="23" w:name="page24"/>
    <w:bookmarkEnd w:id="23"/>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985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We are a BVI business company limited by shares incorporated under the laws of the British Virgin Islands. Our registered office is located at Kingston Chambers, P.O. Box 173, Road Town, Tortola, British Virgin Islands. Our U.S. office is located at 215 Church Street, New Haven, CT 06510 with additional facilities in Yardley, PA, Pittsburgh PA, and New Haven, CT. Our telephone number is (203) 404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0410 and our website address is www.biohavenpharma.com. The information contained on our website is not incorporated by reference into this information statement, and you should not consider any information contained on, or that can be accessed through, our website as part of this information statement or in making an investment decision regarding our common shares.</w:t>
      </w:r>
    </w:p>
    <w:p>
      <w:pPr>
        <w:spacing w:after="0" w:line="1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SpinCo was incorporated on May 2, 2022 as a direct, wholly owned subsidiary of RemainCo. Prior to the Separation and Distribution, the businesses and other assets and assumed liabilities described in this information statement will be transferred to SpinCo. Where we describe in this information statement our business activities, we do so as if these transfers have already occurred.</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the Separation and Distribution, we will have proprietary rights to a number of trademarks used in this information statement which are important to our business, including the Biohaven logo. Solely for convenience, the trademarks and trade names in this information statement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information statement are the property of their respective owners.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or the JOBS Act, enacted in 2012. As an emerging growth company, we expect to take advantage of reduced reporting requirements otherwise applicable to public companies. These provisions include, but are not limited to:</w:t>
      </w:r>
    </w:p>
    <w:p>
      <w:pPr>
        <w:spacing w:after="0" w:line="93" w:lineRule="exact"/>
        <w:rPr>
          <w:sz w:val="20"/>
          <w:szCs w:val="20"/>
          <w:color w:val="auto"/>
        </w:rPr>
      </w:pPr>
    </w:p>
    <w:p>
      <w:pPr>
        <w:ind w:left="640" w:right="620" w:hanging="324"/>
        <w:spacing w:after="0" w:line="239" w:lineRule="exact"/>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as amended (the “Sarbanes-Oxley Act”);</w:t>
      </w:r>
    </w:p>
    <w:p>
      <w:pPr>
        <w:spacing w:after="0" w:line="144" w:lineRule="exact"/>
        <w:rPr>
          <w:rFonts w:ascii="Times New Roman" w:cs="Times New Roman" w:eastAsia="Times New Roman" w:hAnsi="Times New Roman"/>
          <w:sz w:val="18"/>
          <w:szCs w:val="18"/>
          <w:color w:val="auto"/>
        </w:rPr>
      </w:pPr>
    </w:p>
    <w:p>
      <w:pPr>
        <w:ind w:left="640" w:right="740" w:hanging="324"/>
        <w:spacing w:after="0" w:line="282"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07" w:lineRule="exact"/>
        <w:rPr>
          <w:rFonts w:ascii="Times New Roman" w:cs="Times New Roman" w:eastAsia="Times New Roman" w:hAnsi="Times New Roman"/>
          <w:sz w:val="18"/>
          <w:szCs w:val="18"/>
          <w:color w:val="auto"/>
        </w:rPr>
      </w:pPr>
    </w:p>
    <w:p>
      <w:pPr>
        <w:ind w:left="640" w:right="240" w:hanging="324"/>
        <w:spacing w:after="0" w:line="282"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rely on the relief provided by these provisions until the last day of our fiscal year following the fifth anniversary of the completion of the Distribution. However, if certain events occur prior to the end of such five-year period, including if we become a “large accelerated filer” as defined in Rule 12b-2 under the Securities Exchange Act of 1934, as amended (the “Exchange Act”), our annual gross revenues exceed $1.07 billion or we issue more than $1.0 billion of non-convertible debt in any three-year period, we will cease to be an emerging growth company prior to the end of such five-year period.</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information statement is a part and may elect to take advantage of other reduced reporting requirements in future filings. As a result, the information that we provide to our shareholders may be different than you might receive from other public reporting companies in which you hold equity interests.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an extended transition period provided in Section 7(a)(2)(B) of the Securities Act of 1933, as amended (the “Securities Act”),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Additionally, we are a “smaller reporting company,” </w:t>
      </w:r>
      <w:r>
        <w:rPr>
          <w:rFonts w:ascii="Times New Roman" w:cs="Times New Roman" w:eastAsia="Times New Roman" w:hAnsi="Times New Roman"/>
          <w:sz w:val="18"/>
          <w:szCs w:val="18"/>
          <w:color w:val="auto"/>
          <w:highlight w:val="white"/>
        </w:rPr>
        <w:t>meaning that the market value of our common shares held by non-affiliates plus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proposed aggregate amount of gross proceeds to us as a result of this transaction is less than $700 million and our annual revenue is less than $100 million during the most recently completed fiscal year. </w:t>
      </w:r>
      <w:r>
        <w:rPr>
          <w:rFonts w:ascii="Times New Roman" w:cs="Times New Roman" w:eastAsia="Times New Roman" w:hAnsi="Times New Roman"/>
          <w:sz w:val="18"/>
          <w:szCs w:val="18"/>
          <w:color w:val="auto"/>
        </w:rPr>
        <w:t>As such, we are eligible for exemptions from various reporting requirements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applicable to other public companies that are not smaller reporting</w:t>
      </w:r>
    </w:p>
    <w:p>
      <w:pPr>
        <w:sectPr>
          <w:pgSz w:w="11900" w:h="16838" w:orient="portrait"/>
          <w:cols w:equalWidth="0" w:num="1">
            <w:col w:w="10200"/>
          </w:cols>
          <w:pgMar w:left="84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00"/>
          </w:cols>
          <w:pgMar w:left="840" w:top="1440" w:right="859" w:bottom="1440" w:gutter="0" w:footer="0" w:header="0"/>
          <w:type w:val="continuous"/>
        </w:sectPr>
      </w:pPr>
    </w:p>
    <w:bookmarkStart w:id="24" w:name="page25"/>
    <w:bookmarkEnd w:id="24"/>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6802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136130" cy="6802120"/>
                    </a:xfrm>
                    <a:prstGeom prst="rect">
                      <a:avLst/>
                    </a:prstGeom>
                    <a:noFill/>
                  </pic:spPr>
                </pic:pic>
              </a:graphicData>
            </a:graphic>
          </wp:anchor>
        </w:drawing>
      </w:r>
    </w:p>
    <w:p>
      <w:pPr>
        <w:ind w:right="60"/>
        <w:spacing w:after="0" w:line="261" w:lineRule="auto"/>
        <w:rPr>
          <w:sz w:val="20"/>
          <w:szCs w:val="20"/>
          <w:color w:val="auto"/>
        </w:rPr>
      </w:pPr>
      <w:r>
        <w:rPr>
          <w:rFonts w:ascii="Times New Roman" w:cs="Times New Roman" w:eastAsia="Times New Roman" w:hAnsi="Times New Roman"/>
          <w:sz w:val="18"/>
          <w:szCs w:val="18"/>
          <w:color w:val="auto"/>
        </w:rPr>
        <w:t>companies, including, but not limited to, reduced disclosure obligations regarding executive compensation. We may continue to be a smaller reporting company as long as either (i) the market value of our common shares held by non-affiliates is less than $250 million or (ii) our annual revenue is less than $100 million during the most recently completed fiscal year and the market value of our common shares held by non-affiliates is less than $700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Separation and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Separation and Distribution” for a more detailed description of the matters described below.</w:t>
      </w:r>
    </w:p>
    <w:p>
      <w:pPr>
        <w:spacing w:after="0" w:line="183" w:lineRule="exact"/>
        <w:rPr>
          <w:sz w:val="20"/>
          <w:szCs w:val="20"/>
          <w:color w:val="auto"/>
        </w:rPr>
      </w:pPr>
    </w:p>
    <w:p>
      <w:pPr>
        <w:spacing w:after="0" w:line="207" w:lineRule="exact"/>
        <w:tabs>
          <w:tab w:leader="none" w:pos="5100" w:val="left"/>
        </w:tabs>
        <w:rPr>
          <w:sz w:val="20"/>
          <w:szCs w:val="20"/>
          <w:color w:val="auto"/>
        </w:rPr>
      </w:pPr>
      <w:r>
        <w:rPr>
          <w:rFonts w:ascii="Times New Roman" w:cs="Times New Roman" w:eastAsia="Times New Roman" w:hAnsi="Times New Roman"/>
          <w:sz w:val="18"/>
          <w:szCs w:val="18"/>
          <w:color w:val="auto"/>
        </w:rPr>
        <w:t>Distributing Company</w:t>
      </w:r>
      <w:r>
        <w:rPr>
          <w:sz w:val="20"/>
          <w:szCs w:val="20"/>
          <w:color w:val="auto"/>
        </w:rPr>
        <w:tab/>
      </w:r>
      <w:r>
        <w:rPr>
          <w:rFonts w:ascii="Times New Roman" w:cs="Times New Roman" w:eastAsia="Times New Roman" w:hAnsi="Times New Roman"/>
          <w:sz w:val="18"/>
          <w:szCs w:val="18"/>
          <w:color w:val="auto"/>
        </w:rPr>
        <w:t>RemainCo, which is a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biopharmaceutical company that</w:t>
      </w:r>
    </w:p>
    <w:p>
      <w:pPr>
        <w:ind w:left="5120"/>
        <w:spacing w:after="0" w:line="231" w:lineRule="auto"/>
        <w:rPr>
          <w:sz w:val="20"/>
          <w:szCs w:val="20"/>
          <w:color w:val="auto"/>
        </w:rPr>
      </w:pPr>
      <w:r>
        <w:rPr>
          <w:rFonts w:ascii="Times New Roman" w:cs="Times New Roman" w:eastAsia="Times New Roman" w:hAnsi="Times New Roman"/>
          <w:sz w:val="18"/>
          <w:szCs w:val="18"/>
          <w:color w:val="auto"/>
        </w:rPr>
        <w:t>will continue to hold, among other assets, those related to its</w:t>
      </w:r>
    </w:p>
    <w:p>
      <w:pPr>
        <w:ind w:left="5120"/>
        <w:spacing w:after="0" w:line="182" w:lineRule="exact"/>
        <w:rPr>
          <w:sz w:val="20"/>
          <w:szCs w:val="20"/>
          <w:color w:val="auto"/>
        </w:rPr>
      </w:pPr>
      <w:r>
        <w:rPr>
          <w:rFonts w:ascii="Times New Roman" w:cs="Times New Roman" w:eastAsia="Times New Roman" w:hAnsi="Times New Roman"/>
          <w:sz w:val="18"/>
          <w:szCs w:val="18"/>
          <w:color w:val="auto"/>
        </w:rPr>
        <w:t>calcitonin gene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peptide receptor antagonists, including</w:t>
      </w:r>
    </w:p>
    <w:p>
      <w:pPr>
        <w:ind w:left="5120"/>
        <w:spacing w:after="0" w:line="219" w:lineRule="auto"/>
        <w:rPr>
          <w:sz w:val="20"/>
          <w:szCs w:val="20"/>
          <w:color w:val="auto"/>
        </w:rPr>
      </w:pPr>
      <w:r>
        <w:rPr>
          <w:rFonts w:ascii="Times New Roman" w:cs="Times New Roman" w:eastAsia="Times New Roman" w:hAnsi="Times New Roman"/>
          <w:sz w:val="18"/>
          <w:szCs w:val="18"/>
          <w:color w:val="auto"/>
        </w:rPr>
        <w:t>rimegepant, zavegepant and the Heptares Therapeutics Limited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preclinical CGRP portfolio after the Distribution.</w:t>
      </w:r>
    </w:p>
    <w:p>
      <w:pPr>
        <w:spacing w:after="0" w:line="57"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Distributed Company</w:t>
      </w:r>
      <w:r>
        <w:rPr>
          <w:sz w:val="20"/>
          <w:szCs w:val="20"/>
          <w:color w:val="auto"/>
        </w:rPr>
        <w:tab/>
      </w:r>
      <w:r>
        <w:rPr>
          <w:rFonts w:ascii="Times New Roman" w:cs="Times New Roman" w:eastAsia="Times New Roman" w:hAnsi="Times New Roman"/>
          <w:sz w:val="18"/>
          <w:szCs w:val="18"/>
          <w:color w:val="auto"/>
        </w:rPr>
        <w:t>Biohaven Ltd., as described in this information statement.</w:t>
      </w:r>
    </w:p>
    <w:p>
      <w:pPr>
        <w:spacing w:after="0" w:line="77"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Distribution Ratio</w:t>
      </w:r>
      <w:r>
        <w:rPr>
          <w:sz w:val="20"/>
          <w:szCs w:val="20"/>
          <w:color w:val="auto"/>
        </w:rPr>
        <w:tab/>
      </w:r>
      <w:r>
        <w:rPr>
          <w:rFonts w:ascii="Times New Roman" w:cs="Times New Roman" w:eastAsia="Times New Roman" w:hAnsi="Times New Roman"/>
          <w:sz w:val="18"/>
          <w:szCs w:val="18"/>
          <w:color w:val="auto"/>
        </w:rPr>
        <w:t>Each holder of RemainCo common shares will receive a distribution</w:t>
      </w:r>
    </w:p>
    <w:p>
      <w:pPr>
        <w:ind w:left="5120"/>
        <w:spacing w:after="0" w:line="205" w:lineRule="auto"/>
        <w:rPr>
          <w:sz w:val="20"/>
          <w:szCs w:val="20"/>
          <w:color w:val="auto"/>
        </w:rPr>
      </w:pPr>
      <w:r>
        <w:rPr>
          <w:rFonts w:ascii="Times New Roman" w:cs="Times New Roman" w:eastAsia="Times New Roman" w:hAnsi="Times New Roman"/>
          <w:sz w:val="18"/>
          <w:szCs w:val="18"/>
          <w:color w:val="auto"/>
        </w:rPr>
        <w:t>of one of our common shares for every two RemainCo common</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shares held on the record date.</w:t>
      </w:r>
    </w:p>
    <w:p>
      <w:pPr>
        <w:sectPr>
          <w:pgSz w:w="11900" w:h="16838" w:orient="portrait"/>
          <w:cols w:equalWidth="0" w:num="1">
            <w:col w:w="10160"/>
          </w:cols>
          <w:pgMar w:left="840" w:top="1440" w:right="899" w:bottom="1440" w:gutter="0" w:footer="0" w:header="0"/>
        </w:sectPr>
      </w:pP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be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Fractional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Agent, Transfer Agent and Registrar for the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Date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on 71,645,023 RemainCo common shares outstanding on September 19, 2022, 35,822,511 of our common shares would be distributed. The common shares to be distributed will constitute all of our outstanding common shares immediately after the Distribution. RemainCo shareholders will not be required to pay for common shares to be received by them in the Distribution, or to surrender or exchange RemainCo common shares in order to receive our common shares, or to take any other actions in connection with the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fractional common shares will be distributed. Fractional common</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shares will be aggregated into whole common shares of SpinCo and sold in the public market by the distribution agent and shareholders will receive a cash payment in lieu of a fractional share. The</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aggregate net cash proceeds of this sale will be distributed ratably to the shareholders who would otherwise have received fractional interests. These proceeds generally will be taxable to those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5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American Stock Transfer &amp; Trust Company, LLC will be the distribution agent, transfer agent and registrar for our common shares.</w:t>
      </w:r>
    </w:p>
    <w:p>
      <w:pPr>
        <w:spacing w:after="0" w:line="3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record date is the close of business New York City time, on September 26, 2022.</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anticipate that the Distribution date will occur early in the fourth quarter of 2022, subject to the satisfaction or waiver of the conditions described below.</w:t>
      </w:r>
    </w:p>
    <w:p>
      <w:pPr>
        <w:spacing w:after="0" w:line="200" w:lineRule="exact"/>
        <w:rPr>
          <w:sz w:val="20"/>
          <w:szCs w:val="20"/>
          <w:color w:val="auto"/>
        </w:rPr>
      </w:pPr>
    </w:p>
    <w:p>
      <w:pPr>
        <w:sectPr>
          <w:pgSz w:w="11900" w:h="16838" w:orient="portrait"/>
          <w:cols w:equalWidth="0" w:num="2">
            <w:col w:w="4600" w:space="520"/>
            <w:col w:w="5040"/>
          </w:cols>
          <w:pgMar w:left="840" w:top="144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60"/>
          </w:cols>
          <w:pgMar w:left="840" w:top="1440" w:right="899" w:bottom="1440" w:gutter="0" w:footer="0" w:header="0"/>
          <w:type w:val="continuous"/>
        </w:sectPr>
      </w:pPr>
    </w:p>
    <w:bookmarkStart w:id="25" w:name="page26"/>
    <w:bookmarkEnd w:id="25"/>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7539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Certain U.S. Federal Income Tax Consequences of the Distribution</w:t>
      </w:r>
      <w:r>
        <w:rPr>
          <w:sz w:val="20"/>
          <w:szCs w:val="20"/>
          <w:color w:val="auto"/>
        </w:rPr>
        <w:tab/>
      </w:r>
      <w:r>
        <w:rPr>
          <w:rFonts w:ascii="Times New Roman" w:cs="Times New Roman" w:eastAsia="Times New Roman" w:hAnsi="Times New Roman"/>
          <w:sz w:val="17"/>
          <w:szCs w:val="17"/>
          <w:color w:val="auto"/>
        </w:rPr>
        <w:t>Under U.S. federal income tax laws, a U.S. holder (as defined in “The</w:t>
      </w:r>
    </w:p>
    <w:p>
      <w:pPr>
        <w:ind w:left="5120"/>
        <w:spacing w:after="0" w:line="219" w:lineRule="auto"/>
        <w:rPr>
          <w:sz w:val="20"/>
          <w:szCs w:val="20"/>
          <w:color w:val="auto"/>
        </w:rPr>
      </w:pPr>
      <w:r>
        <w:rPr>
          <w:rFonts w:ascii="Times New Roman" w:cs="Times New Roman" w:eastAsia="Times New Roman" w:hAnsi="Times New Roman"/>
          <w:sz w:val="18"/>
          <w:szCs w:val="18"/>
          <w:color w:val="auto"/>
        </w:rPr>
        <w:t>Separation and Distribution—Certain U.S. Federal Income Tax</w:t>
      </w:r>
    </w:p>
    <w:p>
      <w:pPr>
        <w:ind w:left="5120"/>
        <w:spacing w:after="0" w:line="203" w:lineRule="auto"/>
        <w:rPr>
          <w:sz w:val="20"/>
          <w:szCs w:val="20"/>
          <w:color w:val="auto"/>
        </w:rPr>
      </w:pPr>
      <w:r>
        <w:rPr>
          <w:rFonts w:ascii="Times New Roman" w:cs="Times New Roman" w:eastAsia="Times New Roman" w:hAnsi="Times New Roman"/>
          <w:sz w:val="18"/>
          <w:szCs w:val="18"/>
          <w:color w:val="auto"/>
        </w:rPr>
        <w:t>Consequences”) must include in its gross income the gross amount of</w:t>
      </w:r>
    </w:p>
    <w:p>
      <w:pPr>
        <w:ind w:left="5120"/>
        <w:spacing w:after="0" w:line="204" w:lineRule="auto"/>
        <w:rPr>
          <w:sz w:val="20"/>
          <w:szCs w:val="20"/>
          <w:color w:val="auto"/>
        </w:rPr>
      </w:pPr>
      <w:r>
        <w:rPr>
          <w:rFonts w:ascii="Times New Roman" w:cs="Times New Roman" w:eastAsia="Times New Roman" w:hAnsi="Times New Roman"/>
          <w:sz w:val="18"/>
          <w:szCs w:val="18"/>
          <w:color w:val="auto"/>
        </w:rPr>
        <w:t>any dividend paid by RemainCo to the extent of its current or</w:t>
      </w:r>
    </w:p>
    <w:p>
      <w:pPr>
        <w:ind w:left="5120"/>
        <w:spacing w:after="0" w:line="219" w:lineRule="auto"/>
        <w:rPr>
          <w:sz w:val="20"/>
          <w:szCs w:val="20"/>
          <w:color w:val="auto"/>
        </w:rPr>
      </w:pPr>
      <w:r>
        <w:rPr>
          <w:rFonts w:ascii="Times New Roman" w:cs="Times New Roman" w:eastAsia="Times New Roman" w:hAnsi="Times New Roman"/>
          <w:sz w:val="18"/>
          <w:szCs w:val="18"/>
          <w:color w:val="auto"/>
        </w:rPr>
        <w:t>accumulated earnings and profits (as determined for U.S. federal</w:t>
      </w:r>
    </w:p>
    <w:p>
      <w:pPr>
        <w:ind w:left="5120"/>
        <w:spacing w:after="0" w:line="203" w:lineRule="auto"/>
        <w:rPr>
          <w:sz w:val="20"/>
          <w:szCs w:val="20"/>
          <w:color w:val="auto"/>
        </w:rPr>
      </w:pPr>
      <w:r>
        <w:rPr>
          <w:rFonts w:ascii="Times New Roman" w:cs="Times New Roman" w:eastAsia="Times New Roman" w:hAnsi="Times New Roman"/>
          <w:sz w:val="18"/>
          <w:szCs w:val="18"/>
          <w:color w:val="auto"/>
        </w:rPr>
        <w:t>income tax purposes). RemainCo has not calculated earnings and</w:t>
      </w:r>
    </w:p>
    <w:p>
      <w:pPr>
        <w:ind w:left="5120"/>
        <w:spacing w:after="0" w:line="204" w:lineRule="auto"/>
        <w:rPr>
          <w:sz w:val="20"/>
          <w:szCs w:val="20"/>
          <w:color w:val="auto"/>
        </w:rPr>
      </w:pPr>
      <w:r>
        <w:rPr>
          <w:rFonts w:ascii="Times New Roman" w:cs="Times New Roman" w:eastAsia="Times New Roman" w:hAnsi="Times New Roman"/>
          <w:sz w:val="18"/>
          <w:szCs w:val="18"/>
          <w:color w:val="auto"/>
        </w:rPr>
        <w:t>profits in accordance with U.S. federal income tax principles.</w:t>
      </w:r>
    </w:p>
    <w:p>
      <w:pPr>
        <w:ind w:left="5120"/>
        <w:spacing w:after="0" w:line="219" w:lineRule="auto"/>
        <w:rPr>
          <w:sz w:val="20"/>
          <w:szCs w:val="20"/>
          <w:color w:val="auto"/>
        </w:rPr>
      </w:pPr>
      <w:r>
        <w:rPr>
          <w:rFonts w:ascii="Times New Roman" w:cs="Times New Roman" w:eastAsia="Times New Roman" w:hAnsi="Times New Roman"/>
          <w:sz w:val="18"/>
          <w:szCs w:val="18"/>
          <w:color w:val="auto"/>
        </w:rPr>
        <w:t>Accordingly, U.S. holders should expect to treat the Distribution as a</w:t>
      </w:r>
    </w:p>
    <w:p>
      <w:pPr>
        <w:ind w:left="5120"/>
        <w:spacing w:after="0" w:line="203" w:lineRule="auto"/>
        <w:rPr>
          <w:sz w:val="20"/>
          <w:szCs w:val="20"/>
          <w:color w:val="auto"/>
        </w:rPr>
      </w:pPr>
      <w:r>
        <w:rPr>
          <w:rFonts w:ascii="Times New Roman" w:cs="Times New Roman" w:eastAsia="Times New Roman" w:hAnsi="Times New Roman"/>
          <w:sz w:val="18"/>
          <w:szCs w:val="18"/>
          <w:color w:val="auto"/>
        </w:rPr>
        <w:t>dividend. See “The Separation and Distribution—Certain U.S.</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Federal Income Tax Consequences” for further information.</w:t>
      </w:r>
    </w:p>
    <w:p>
      <w:pPr>
        <w:spacing w:after="0" w:line="45"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Stock Exchange Listing</w:t>
      </w:r>
      <w:r>
        <w:rPr>
          <w:sz w:val="20"/>
          <w:szCs w:val="20"/>
          <w:color w:val="auto"/>
        </w:rPr>
        <w:tab/>
      </w:r>
      <w:r>
        <w:rPr>
          <w:rFonts w:ascii="Times New Roman" w:cs="Times New Roman" w:eastAsia="Times New Roman" w:hAnsi="Times New Roman"/>
          <w:sz w:val="17"/>
          <w:szCs w:val="17"/>
          <w:color w:val="auto"/>
        </w:rPr>
        <w:t>There is not currently a public market for our common shares. We</w:t>
      </w:r>
    </w:p>
    <w:p>
      <w:pPr>
        <w:ind w:left="5120"/>
        <w:spacing w:after="0" w:line="219" w:lineRule="auto"/>
        <w:rPr>
          <w:sz w:val="20"/>
          <w:szCs w:val="20"/>
          <w:color w:val="auto"/>
        </w:rPr>
      </w:pPr>
      <w:r>
        <w:rPr>
          <w:rFonts w:ascii="Times New Roman" w:cs="Times New Roman" w:eastAsia="Times New Roman" w:hAnsi="Times New Roman"/>
          <w:sz w:val="18"/>
          <w:szCs w:val="18"/>
          <w:color w:val="auto"/>
        </w:rPr>
        <w:t>will apply for our common shares to be listed on NYSE under the</w:t>
      </w:r>
    </w:p>
    <w:p>
      <w:pPr>
        <w:ind w:left="5120"/>
        <w:spacing w:after="0" w:line="203" w:lineRule="auto"/>
        <w:rPr>
          <w:sz w:val="20"/>
          <w:szCs w:val="20"/>
          <w:color w:val="auto"/>
        </w:rPr>
      </w:pPr>
      <w:r>
        <w:rPr>
          <w:rFonts w:ascii="Times New Roman" w:cs="Times New Roman" w:eastAsia="Times New Roman" w:hAnsi="Times New Roman"/>
          <w:sz w:val="18"/>
          <w:szCs w:val="18"/>
          <w:color w:val="auto"/>
        </w:rPr>
        <w:t>symbol “BHVN.” It is anticipated that trading will commence on a</w:t>
      </w:r>
    </w:p>
    <w:p>
      <w:pPr>
        <w:ind w:left="5120"/>
        <w:spacing w:after="0" w:line="204" w:lineRule="auto"/>
        <w:rPr>
          <w:sz w:val="20"/>
          <w:szCs w:val="20"/>
          <w:color w:val="auto"/>
        </w:rPr>
      </w:pPr>
      <w:r>
        <w:rPr>
          <w:rFonts w:ascii="Times New Roman" w:cs="Times New Roman" w:eastAsia="Times New Roman" w:hAnsi="Times New Roman"/>
          <w:sz w:val="18"/>
          <w:szCs w:val="18"/>
          <w:color w:val="auto"/>
        </w:rPr>
        <w:t>when-issued basis prior to the Distribution. On the first trading day</w:t>
      </w:r>
    </w:p>
    <w:p>
      <w:pPr>
        <w:ind w:left="5120"/>
        <w:spacing w:after="0" w:line="219" w:lineRule="auto"/>
        <w:rPr>
          <w:sz w:val="20"/>
          <w:szCs w:val="20"/>
          <w:color w:val="auto"/>
        </w:rPr>
      </w:pPr>
      <w:r>
        <w:rPr>
          <w:rFonts w:ascii="Times New Roman" w:cs="Times New Roman" w:eastAsia="Times New Roman" w:hAnsi="Times New Roman"/>
          <w:sz w:val="18"/>
          <w:szCs w:val="18"/>
          <w:color w:val="auto"/>
        </w:rPr>
        <w:t>following the Distribution date, when-issued trading in respect of our</w:t>
      </w:r>
    </w:p>
    <w:p>
      <w:pPr>
        <w:ind w:left="5120"/>
        <w:spacing w:after="0"/>
        <w:rPr>
          <w:sz w:val="20"/>
          <w:szCs w:val="20"/>
          <w:color w:val="auto"/>
        </w:rPr>
      </w:pPr>
      <w:r>
        <w:rPr>
          <w:rFonts w:ascii="Times New Roman" w:cs="Times New Roman" w:eastAsia="Times New Roman" w:hAnsi="Times New Roman"/>
          <w:sz w:val="18"/>
          <w:szCs w:val="18"/>
          <w:color w:val="auto"/>
        </w:rPr>
        <w:t>common shares will end and regular-way trading will begin.</w:t>
      </w:r>
    </w:p>
    <w:p>
      <w:pPr>
        <w:spacing w:after="0" w:line="45"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Relationship between RemainCo and Us after the Distribution</w:t>
      </w:r>
      <w:r>
        <w:rPr>
          <w:sz w:val="20"/>
          <w:szCs w:val="20"/>
          <w:color w:val="auto"/>
        </w:rPr>
        <w:tab/>
      </w:r>
      <w:r>
        <w:rPr>
          <w:rFonts w:ascii="Times New Roman" w:cs="Times New Roman" w:eastAsia="Times New Roman" w:hAnsi="Times New Roman"/>
          <w:sz w:val="18"/>
          <w:szCs w:val="18"/>
          <w:color w:val="auto"/>
        </w:rPr>
        <w:t>Following the Distribution, we will be a public company and</w:t>
      </w:r>
    </w:p>
    <w:p>
      <w:pPr>
        <w:ind w:left="5120"/>
        <w:spacing w:after="0" w:line="219" w:lineRule="auto"/>
        <w:rPr>
          <w:sz w:val="20"/>
          <w:szCs w:val="20"/>
          <w:color w:val="auto"/>
        </w:rPr>
      </w:pPr>
      <w:r>
        <w:rPr>
          <w:rFonts w:ascii="Times New Roman" w:cs="Times New Roman" w:eastAsia="Times New Roman" w:hAnsi="Times New Roman"/>
          <w:sz w:val="18"/>
          <w:szCs w:val="18"/>
          <w:color w:val="auto"/>
        </w:rPr>
        <w:t>RemainCo will have no continuing ownership interest in us. Prior to</w:t>
      </w:r>
    </w:p>
    <w:p>
      <w:pPr>
        <w:ind w:left="5120"/>
        <w:spacing w:after="0" w:line="203" w:lineRule="auto"/>
        <w:rPr>
          <w:sz w:val="20"/>
          <w:szCs w:val="20"/>
          <w:color w:val="auto"/>
        </w:rPr>
      </w:pPr>
      <w:r>
        <w:rPr>
          <w:rFonts w:ascii="Times New Roman" w:cs="Times New Roman" w:eastAsia="Times New Roman" w:hAnsi="Times New Roman"/>
          <w:sz w:val="18"/>
          <w:szCs w:val="18"/>
          <w:color w:val="auto"/>
        </w:rPr>
        <w:t>the Distribution, we and RemainCo entered into a Separation and</w:t>
      </w:r>
    </w:p>
    <w:p>
      <w:pPr>
        <w:ind w:left="5120"/>
        <w:spacing w:after="0" w:line="204" w:lineRule="auto"/>
        <w:rPr>
          <w:sz w:val="20"/>
          <w:szCs w:val="20"/>
          <w:color w:val="auto"/>
        </w:rPr>
      </w:pPr>
      <w:r>
        <w:rPr>
          <w:rFonts w:ascii="Times New Roman" w:cs="Times New Roman" w:eastAsia="Times New Roman" w:hAnsi="Times New Roman"/>
          <w:sz w:val="18"/>
          <w:szCs w:val="18"/>
          <w:color w:val="auto"/>
        </w:rPr>
        <w:t>Distribution Agreement (the “Distribution Agreement”) on May 9,</w:t>
      </w:r>
    </w:p>
    <w:p>
      <w:pPr>
        <w:ind w:left="5120"/>
        <w:spacing w:after="0" w:line="219" w:lineRule="auto"/>
        <w:rPr>
          <w:sz w:val="20"/>
          <w:szCs w:val="20"/>
          <w:color w:val="auto"/>
        </w:rPr>
      </w:pPr>
      <w:r>
        <w:rPr>
          <w:rFonts w:ascii="Times New Roman" w:cs="Times New Roman" w:eastAsia="Times New Roman" w:hAnsi="Times New Roman"/>
          <w:sz w:val="18"/>
          <w:szCs w:val="18"/>
          <w:color w:val="auto"/>
        </w:rPr>
        <w:t>2022. The Distribution Agreement provides that certain intellectual</w:t>
      </w:r>
    </w:p>
    <w:p>
      <w:pPr>
        <w:ind w:left="5120"/>
        <w:spacing w:after="0" w:line="203" w:lineRule="auto"/>
        <w:rPr>
          <w:sz w:val="20"/>
          <w:szCs w:val="20"/>
          <w:color w:val="auto"/>
        </w:rPr>
      </w:pPr>
      <w:r>
        <w:rPr>
          <w:rFonts w:ascii="Times New Roman" w:cs="Times New Roman" w:eastAsia="Times New Roman" w:hAnsi="Times New Roman"/>
          <w:sz w:val="18"/>
          <w:szCs w:val="18"/>
          <w:color w:val="auto"/>
        </w:rPr>
        <w:t>property owned by SpinCo and used by RemainCo will be licensed</w:t>
      </w:r>
    </w:p>
    <w:p>
      <w:pPr>
        <w:ind w:left="5120"/>
        <w:spacing w:after="0" w:line="204" w:lineRule="auto"/>
        <w:rPr>
          <w:sz w:val="20"/>
          <w:szCs w:val="20"/>
          <w:color w:val="auto"/>
        </w:rPr>
      </w:pPr>
      <w:r>
        <w:rPr>
          <w:rFonts w:ascii="Times New Roman" w:cs="Times New Roman" w:eastAsia="Times New Roman" w:hAnsi="Times New Roman"/>
          <w:sz w:val="18"/>
          <w:szCs w:val="18"/>
          <w:color w:val="auto"/>
        </w:rPr>
        <w:t>back to RemainCo, including certain trademarks for a transitional</w:t>
      </w:r>
    </w:p>
    <w:p>
      <w:pPr>
        <w:ind w:left="5120"/>
        <w:spacing w:after="0" w:line="219" w:lineRule="auto"/>
        <w:rPr>
          <w:sz w:val="20"/>
          <w:szCs w:val="20"/>
          <w:color w:val="auto"/>
        </w:rPr>
      </w:pPr>
      <w:r>
        <w:rPr>
          <w:rFonts w:ascii="Times New Roman" w:cs="Times New Roman" w:eastAsia="Times New Roman" w:hAnsi="Times New Roman"/>
          <w:sz w:val="18"/>
          <w:szCs w:val="18"/>
          <w:color w:val="auto"/>
        </w:rPr>
        <w:t>period. On or prior to the Distribution date, we will enter into the</w:t>
      </w:r>
    </w:p>
    <w:p>
      <w:pPr>
        <w:ind w:left="5120"/>
        <w:spacing w:after="0" w:line="203" w:lineRule="auto"/>
        <w:rPr>
          <w:sz w:val="20"/>
          <w:szCs w:val="20"/>
          <w:color w:val="auto"/>
        </w:rPr>
      </w:pPr>
      <w:r>
        <w:rPr>
          <w:rFonts w:ascii="Times New Roman" w:cs="Times New Roman" w:eastAsia="Times New Roman" w:hAnsi="Times New Roman"/>
          <w:sz w:val="18"/>
          <w:szCs w:val="18"/>
          <w:color w:val="auto"/>
        </w:rPr>
        <w:t>transition services agreement with RemainCo (the “Transition</w:t>
      </w:r>
    </w:p>
    <w:p>
      <w:pPr>
        <w:ind w:left="5120"/>
        <w:spacing w:after="0" w:line="204" w:lineRule="auto"/>
        <w:rPr>
          <w:sz w:val="20"/>
          <w:szCs w:val="20"/>
          <w:color w:val="auto"/>
        </w:rPr>
      </w:pPr>
      <w:r>
        <w:rPr>
          <w:rFonts w:ascii="Times New Roman" w:cs="Times New Roman" w:eastAsia="Times New Roman" w:hAnsi="Times New Roman"/>
          <w:sz w:val="18"/>
          <w:szCs w:val="18"/>
          <w:color w:val="auto"/>
        </w:rPr>
        <w:t>Services Agreement”), pursuant to which we will provide certain</w:t>
      </w:r>
    </w:p>
    <w:p>
      <w:pPr>
        <w:ind w:left="5120"/>
        <w:spacing w:after="0" w:line="219" w:lineRule="auto"/>
        <w:rPr>
          <w:sz w:val="20"/>
          <w:szCs w:val="20"/>
          <w:color w:val="auto"/>
        </w:rPr>
      </w:pPr>
      <w:r>
        <w:rPr>
          <w:rFonts w:ascii="Times New Roman" w:cs="Times New Roman" w:eastAsia="Times New Roman" w:hAnsi="Times New Roman"/>
          <w:sz w:val="18"/>
          <w:szCs w:val="18"/>
          <w:color w:val="auto"/>
        </w:rPr>
        <w:t>transition services to RemainCo, and RemainCo will provide certain</w:t>
      </w:r>
    </w:p>
    <w:p>
      <w:pPr>
        <w:ind w:left="5120"/>
        <w:spacing w:after="0" w:line="204" w:lineRule="auto"/>
        <w:rPr>
          <w:sz w:val="20"/>
          <w:szCs w:val="20"/>
          <w:color w:val="auto"/>
        </w:rPr>
      </w:pPr>
      <w:r>
        <w:rPr>
          <w:rFonts w:ascii="Times New Roman" w:cs="Times New Roman" w:eastAsia="Times New Roman" w:hAnsi="Times New Roman"/>
          <w:sz w:val="18"/>
          <w:szCs w:val="18"/>
          <w:color w:val="auto"/>
        </w:rPr>
        <w:t>transition services to us. The Distribution Agreement also includes an</w:t>
      </w:r>
    </w:p>
    <w:p>
      <w:pPr>
        <w:ind w:left="5120"/>
        <w:spacing w:after="0" w:line="203" w:lineRule="auto"/>
        <w:rPr>
          <w:sz w:val="20"/>
          <w:szCs w:val="20"/>
          <w:color w:val="auto"/>
        </w:rPr>
      </w:pPr>
      <w:r>
        <w:rPr>
          <w:rFonts w:ascii="Times New Roman" w:cs="Times New Roman" w:eastAsia="Times New Roman" w:hAnsi="Times New Roman"/>
          <w:sz w:val="18"/>
          <w:szCs w:val="18"/>
          <w:color w:val="auto"/>
        </w:rPr>
        <w:t>agreement that we and RemainCo provide each other with certain</w:t>
      </w:r>
    </w:p>
    <w:p>
      <w:pPr>
        <w:ind w:left="5120"/>
        <w:spacing w:after="0" w:line="219" w:lineRule="auto"/>
        <w:rPr>
          <w:sz w:val="20"/>
          <w:szCs w:val="20"/>
          <w:color w:val="auto"/>
        </w:rPr>
      </w:pPr>
      <w:r>
        <w:rPr>
          <w:rFonts w:ascii="Times New Roman" w:cs="Times New Roman" w:eastAsia="Times New Roman" w:hAnsi="Times New Roman"/>
          <w:sz w:val="18"/>
          <w:szCs w:val="18"/>
          <w:color w:val="auto"/>
        </w:rPr>
        <w:t>indemnities with respect to liabilities arising out of the assets and</w:t>
      </w:r>
    </w:p>
    <w:p>
      <w:pPr>
        <w:ind w:left="5120"/>
        <w:spacing w:after="0" w:line="204" w:lineRule="auto"/>
        <w:rPr>
          <w:sz w:val="20"/>
          <w:szCs w:val="20"/>
          <w:color w:val="auto"/>
        </w:rPr>
      </w:pPr>
      <w:r>
        <w:rPr>
          <w:rFonts w:ascii="Times New Roman" w:cs="Times New Roman" w:eastAsia="Times New Roman" w:hAnsi="Times New Roman"/>
          <w:sz w:val="18"/>
          <w:szCs w:val="18"/>
          <w:color w:val="auto"/>
        </w:rPr>
        <w:t>liabilities being assumed or retained by each party. We are also party</w:t>
      </w:r>
    </w:p>
    <w:p>
      <w:pPr>
        <w:ind w:left="5120"/>
        <w:spacing w:after="0" w:line="203" w:lineRule="auto"/>
        <w:rPr>
          <w:sz w:val="20"/>
          <w:szCs w:val="20"/>
          <w:color w:val="auto"/>
        </w:rPr>
      </w:pPr>
      <w:r>
        <w:rPr>
          <w:rFonts w:ascii="Times New Roman" w:cs="Times New Roman" w:eastAsia="Times New Roman" w:hAnsi="Times New Roman"/>
          <w:sz w:val="18"/>
          <w:szCs w:val="18"/>
          <w:color w:val="auto"/>
        </w:rPr>
        <w:t>to other arrangements with RemainCo. See “Certain Relationships</w:t>
      </w:r>
    </w:p>
    <w:p>
      <w:pPr>
        <w:ind w:left="5120"/>
        <w:spacing w:after="0" w:line="219" w:lineRule="auto"/>
        <w:rPr>
          <w:sz w:val="20"/>
          <w:szCs w:val="20"/>
          <w:color w:val="auto"/>
        </w:rPr>
      </w:pPr>
      <w:r>
        <w:rPr>
          <w:rFonts w:ascii="Times New Roman" w:cs="Times New Roman" w:eastAsia="Times New Roman" w:hAnsi="Times New Roman"/>
          <w:sz w:val="18"/>
          <w:szCs w:val="18"/>
          <w:color w:val="auto"/>
        </w:rPr>
        <w:t>and Related Party Transactions” for a discussion of our other related</w:t>
      </w:r>
    </w:p>
    <w:p>
      <w:pPr>
        <w:ind w:left="5120"/>
        <w:spacing w:after="0" w:line="204" w:lineRule="auto"/>
        <w:rPr>
          <w:sz w:val="20"/>
          <w:szCs w:val="20"/>
          <w:color w:val="auto"/>
        </w:rPr>
      </w:pPr>
      <w:r>
        <w:rPr>
          <w:rFonts w:ascii="Times New Roman" w:cs="Times New Roman" w:eastAsia="Times New Roman" w:hAnsi="Times New Roman"/>
          <w:sz w:val="18"/>
          <w:szCs w:val="18"/>
          <w:color w:val="auto"/>
        </w:rPr>
        <w:t>party arrangements and the policies that will be in place for dealing</w:t>
      </w:r>
    </w:p>
    <w:p>
      <w:pPr>
        <w:ind w:left="5120"/>
        <w:spacing w:after="0" w:line="203" w:lineRule="auto"/>
        <w:rPr>
          <w:sz w:val="20"/>
          <w:szCs w:val="20"/>
          <w:color w:val="auto"/>
        </w:rPr>
      </w:pPr>
      <w:r>
        <w:rPr>
          <w:rFonts w:ascii="Times New Roman" w:cs="Times New Roman" w:eastAsia="Times New Roman" w:hAnsi="Times New Roman"/>
          <w:sz w:val="18"/>
          <w:szCs w:val="18"/>
          <w:color w:val="auto"/>
        </w:rPr>
        <w:t>with potential conflicts of interest that may arise from our ongoing</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relationship with RemainCo.</w:t>
      </w:r>
    </w:p>
    <w:p>
      <w:pPr>
        <w:spacing w:after="0" w:line="59"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Conditions to the Separation and Distribution</w:t>
      </w:r>
      <w:r>
        <w:rPr>
          <w:sz w:val="20"/>
          <w:szCs w:val="20"/>
          <w:color w:val="auto"/>
        </w:rPr>
        <w:tab/>
      </w:r>
      <w:r>
        <w:rPr>
          <w:rFonts w:ascii="Times New Roman" w:cs="Times New Roman" w:eastAsia="Times New Roman" w:hAnsi="Times New Roman"/>
          <w:sz w:val="17"/>
          <w:szCs w:val="17"/>
          <w:color w:val="auto"/>
        </w:rPr>
        <w:t>The Separation and Distribution is subject to the satisfaction or</w:t>
      </w:r>
    </w:p>
    <w:p>
      <w:pPr>
        <w:ind w:left="5120"/>
        <w:spacing w:after="0" w:line="219" w:lineRule="auto"/>
        <w:rPr>
          <w:sz w:val="20"/>
          <w:szCs w:val="20"/>
          <w:color w:val="auto"/>
        </w:rPr>
      </w:pPr>
      <w:r>
        <w:rPr>
          <w:rFonts w:ascii="Times New Roman" w:cs="Times New Roman" w:eastAsia="Times New Roman" w:hAnsi="Times New Roman"/>
          <w:sz w:val="18"/>
          <w:szCs w:val="18"/>
          <w:color w:val="auto"/>
        </w:rPr>
        <w:t>waiver by RemainCo and SpinCo of certain conditions, including,</w:t>
      </w:r>
    </w:p>
    <w:p>
      <w:pPr>
        <w:ind w:left="5120"/>
        <w:spacing w:after="0" w:line="203" w:lineRule="auto"/>
        <w:rPr>
          <w:sz w:val="20"/>
          <w:szCs w:val="20"/>
          <w:color w:val="auto"/>
        </w:rPr>
      </w:pPr>
      <w:r>
        <w:rPr>
          <w:rFonts w:ascii="Times New Roman" w:cs="Times New Roman" w:eastAsia="Times New Roman" w:hAnsi="Times New Roman"/>
          <w:sz w:val="18"/>
          <w:szCs w:val="18"/>
          <w:color w:val="auto"/>
        </w:rPr>
        <w:t>among other things, the fulfillment or waiver of the conditions</w:t>
      </w:r>
    </w:p>
    <w:p>
      <w:pPr>
        <w:ind w:left="5120"/>
        <w:spacing w:after="0" w:line="204" w:lineRule="auto"/>
        <w:rPr>
          <w:sz w:val="20"/>
          <w:szCs w:val="20"/>
          <w:color w:val="auto"/>
        </w:rPr>
      </w:pPr>
      <w:r>
        <w:rPr>
          <w:rFonts w:ascii="Times New Roman" w:cs="Times New Roman" w:eastAsia="Times New Roman" w:hAnsi="Times New Roman"/>
          <w:sz w:val="18"/>
          <w:szCs w:val="18"/>
          <w:color w:val="auto"/>
        </w:rPr>
        <w:t>precedent in the Merger Agreement to the consummation of the</w:t>
      </w:r>
    </w:p>
    <w:p>
      <w:pPr>
        <w:ind w:left="5120"/>
        <w:spacing w:after="0" w:line="219" w:lineRule="auto"/>
        <w:rPr>
          <w:sz w:val="20"/>
          <w:szCs w:val="20"/>
          <w:color w:val="auto"/>
        </w:rPr>
      </w:pPr>
      <w:r>
        <w:rPr>
          <w:rFonts w:ascii="Times New Roman" w:cs="Times New Roman" w:eastAsia="Times New Roman" w:hAnsi="Times New Roman"/>
          <w:sz w:val="18"/>
          <w:szCs w:val="18"/>
          <w:color w:val="auto"/>
        </w:rPr>
        <w:t>Merger other than the completion of the Distribution and any</w:t>
      </w:r>
    </w:p>
    <w:p>
      <w:pPr>
        <w:ind w:left="5120"/>
        <w:spacing w:after="0" w:line="203" w:lineRule="auto"/>
        <w:rPr>
          <w:sz w:val="20"/>
          <w:szCs w:val="20"/>
          <w:color w:val="auto"/>
        </w:rPr>
      </w:pPr>
      <w:r>
        <w:rPr>
          <w:rFonts w:ascii="Times New Roman" w:cs="Times New Roman" w:eastAsia="Times New Roman" w:hAnsi="Times New Roman"/>
          <w:sz w:val="18"/>
          <w:szCs w:val="18"/>
          <w:color w:val="auto"/>
        </w:rPr>
        <w:t>conditions that can only be satisfied at the closing of the Merger</w:t>
      </w:r>
    </w:p>
    <w:p>
      <w:pPr>
        <w:ind w:left="5120"/>
        <w:spacing w:after="0" w:line="204" w:lineRule="auto"/>
        <w:rPr>
          <w:sz w:val="20"/>
          <w:szCs w:val="20"/>
          <w:color w:val="auto"/>
        </w:rPr>
      </w:pPr>
      <w:r>
        <w:rPr>
          <w:rFonts w:ascii="Times New Roman" w:cs="Times New Roman" w:eastAsia="Times New Roman" w:hAnsi="Times New Roman"/>
          <w:sz w:val="18"/>
          <w:szCs w:val="18"/>
          <w:color w:val="auto"/>
        </w:rPr>
        <w:t>(provided that such conditions are then capable of being satisfied), the</w:t>
      </w:r>
    </w:p>
    <w:p>
      <w:pPr>
        <w:ind w:left="5120"/>
        <w:spacing w:after="0" w:line="219" w:lineRule="auto"/>
        <w:rPr>
          <w:sz w:val="20"/>
          <w:szCs w:val="20"/>
          <w:color w:val="auto"/>
        </w:rPr>
      </w:pPr>
      <w:r>
        <w:rPr>
          <w:rFonts w:ascii="Times New Roman" w:cs="Times New Roman" w:eastAsia="Times New Roman" w:hAnsi="Times New Roman"/>
          <w:sz w:val="18"/>
          <w:szCs w:val="18"/>
          <w:color w:val="auto"/>
        </w:rPr>
        <w:t>continuing effectiveness of the registration statement in connection</w:t>
      </w:r>
    </w:p>
    <w:p>
      <w:pPr>
        <w:ind w:left="5120"/>
        <w:spacing w:after="0" w:line="203" w:lineRule="auto"/>
        <w:rPr>
          <w:sz w:val="20"/>
          <w:szCs w:val="20"/>
          <w:color w:val="auto"/>
        </w:rPr>
      </w:pPr>
      <w:r>
        <w:rPr>
          <w:rFonts w:ascii="Times New Roman" w:cs="Times New Roman" w:eastAsia="Times New Roman" w:hAnsi="Times New Roman"/>
          <w:sz w:val="18"/>
          <w:szCs w:val="18"/>
          <w:color w:val="auto"/>
        </w:rPr>
        <w:t>with the Distribution by the SEC, acceptance for listing on a national</w:t>
      </w:r>
    </w:p>
    <w:p>
      <w:pPr>
        <w:ind w:left="5120"/>
        <w:spacing w:after="0" w:line="204" w:lineRule="auto"/>
        <w:rPr>
          <w:sz w:val="20"/>
          <w:szCs w:val="20"/>
          <w:color w:val="auto"/>
        </w:rPr>
      </w:pPr>
      <w:r>
        <w:rPr>
          <w:rFonts w:ascii="Times New Roman" w:cs="Times New Roman" w:eastAsia="Times New Roman" w:hAnsi="Times New Roman"/>
          <w:sz w:val="18"/>
          <w:szCs w:val="18"/>
          <w:color w:val="auto"/>
        </w:rPr>
        <w:t>securities exchange of SpinCo common shares and the execution of</w:t>
      </w:r>
    </w:p>
    <w:p>
      <w:pPr>
        <w:ind w:left="5120"/>
        <w:spacing w:after="0" w:line="219" w:lineRule="auto"/>
        <w:rPr>
          <w:sz w:val="20"/>
          <w:szCs w:val="20"/>
          <w:color w:val="auto"/>
        </w:rPr>
      </w:pPr>
      <w:r>
        <w:rPr>
          <w:rFonts w:ascii="Times New Roman" w:cs="Times New Roman" w:eastAsia="Times New Roman" w:hAnsi="Times New Roman"/>
          <w:sz w:val="18"/>
          <w:szCs w:val="18"/>
          <w:color w:val="auto"/>
        </w:rPr>
        <w:t>the Transition Services Agreement. See “The Separation and</w:t>
      </w:r>
    </w:p>
    <w:p>
      <w:pPr>
        <w:ind w:left="5120"/>
        <w:spacing w:after="0" w:line="204" w:lineRule="auto"/>
        <w:rPr>
          <w:sz w:val="20"/>
          <w:szCs w:val="20"/>
          <w:color w:val="auto"/>
        </w:rPr>
      </w:pPr>
      <w:r>
        <w:rPr>
          <w:rFonts w:ascii="Times New Roman" w:cs="Times New Roman" w:eastAsia="Times New Roman" w:hAnsi="Times New Roman"/>
          <w:sz w:val="18"/>
          <w:szCs w:val="18"/>
          <w:color w:val="auto"/>
        </w:rPr>
        <w:t>Distribution—The Distribution Agreement” for more information on</w:t>
      </w:r>
    </w:p>
    <w:p>
      <w:pPr>
        <w:ind w:left="5120"/>
        <w:spacing w:after="0"/>
        <w:rPr>
          <w:sz w:val="20"/>
          <w:szCs w:val="20"/>
          <w:color w:val="auto"/>
        </w:rPr>
      </w:pPr>
      <w:r>
        <w:rPr>
          <w:rFonts w:ascii="Times New Roman" w:cs="Times New Roman" w:eastAsia="Times New Roman" w:hAnsi="Times New Roman"/>
          <w:sz w:val="18"/>
          <w:szCs w:val="18"/>
          <w:color w:val="auto"/>
        </w:rPr>
        <w:t>the conditions to the Separation and Distribution.</w:t>
      </w:r>
    </w:p>
    <w:p>
      <w:pPr>
        <w:spacing w:after="0" w:line="45"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Post-Distribution Dividend Policy</w:t>
      </w:r>
      <w:r>
        <w:rPr>
          <w:sz w:val="20"/>
          <w:szCs w:val="20"/>
          <w:color w:val="auto"/>
        </w:rPr>
        <w:tab/>
      </w:r>
      <w:r>
        <w:rPr>
          <w:rFonts w:ascii="Times New Roman" w:cs="Times New Roman" w:eastAsia="Times New Roman" w:hAnsi="Times New Roman"/>
          <w:sz w:val="17"/>
          <w:szCs w:val="17"/>
          <w:color w:val="auto"/>
        </w:rPr>
        <w:t>We do not expect to pay any cash dividends on our common shares in</w:t>
      </w:r>
    </w:p>
    <w:p>
      <w:pPr>
        <w:ind w:left="5120"/>
        <w:spacing w:after="0" w:line="219" w:lineRule="auto"/>
        <w:rPr>
          <w:sz w:val="20"/>
          <w:szCs w:val="20"/>
          <w:color w:val="auto"/>
        </w:rPr>
      </w:pPr>
      <w:r>
        <w:rPr>
          <w:rFonts w:ascii="Times New Roman" w:cs="Times New Roman" w:eastAsia="Times New Roman" w:hAnsi="Times New Roman"/>
          <w:sz w:val="18"/>
          <w:szCs w:val="18"/>
          <w:color w:val="auto"/>
        </w:rPr>
        <w:t>the foreseeable future. All decisions regarding the payment of</w:t>
      </w:r>
    </w:p>
    <w:p>
      <w:pPr>
        <w:ind w:left="5120"/>
        <w:spacing w:after="0" w:line="203" w:lineRule="auto"/>
        <w:rPr>
          <w:sz w:val="20"/>
          <w:szCs w:val="20"/>
          <w:color w:val="auto"/>
        </w:rPr>
      </w:pPr>
      <w:r>
        <w:rPr>
          <w:rFonts w:ascii="Times New Roman" w:cs="Times New Roman" w:eastAsia="Times New Roman" w:hAnsi="Times New Roman"/>
          <w:sz w:val="18"/>
          <w:szCs w:val="18"/>
          <w:color w:val="auto"/>
        </w:rPr>
        <w:t>dividends will be made by our Board of Directors from time to time</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accordance with applicable law.</w:t>
      </w:r>
    </w:p>
    <w:p>
      <w:pPr>
        <w:spacing w:after="0" w:line="45"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Shareholders should carefully consider the matters discussed under</w:t>
      </w:r>
    </w:p>
    <w:p>
      <w:pPr>
        <w:ind w:left="5120"/>
        <w:spacing w:after="0"/>
        <w:rPr>
          <w:sz w:val="20"/>
          <w:szCs w:val="20"/>
          <w:color w:val="auto"/>
        </w:rPr>
      </w:pPr>
      <w:r>
        <w:rPr>
          <w:rFonts w:ascii="Times New Roman" w:cs="Times New Roman" w:eastAsia="Times New Roman" w:hAnsi="Times New Roman"/>
          <w:sz w:val="18"/>
          <w:szCs w:val="18"/>
          <w:color w:val="auto"/>
        </w:rPr>
        <w:t>“Risk Factors.”</w:t>
      </w:r>
    </w:p>
    <w:p>
      <w:pPr>
        <w:sectPr>
          <w:pgSz w:w="11900" w:h="16838" w:orient="portrait"/>
          <w:cols w:equalWidth="0" w:num="1">
            <w:col w:w="10180"/>
          </w:cols>
          <w:pgMar w:left="84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80"/>
          </w:cols>
          <w:pgMar w:left="840" w:top="1440" w:right="87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772795</wp:posOffset>
            </wp:positionV>
            <wp:extent cx="7136130" cy="8293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136130" cy="829373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COMBINED FINANCIAL DATA</w:t>
      </w:r>
    </w:p>
    <w:p>
      <w:pPr>
        <w:spacing w:after="0" w:line="175" w:lineRule="exact"/>
        <w:rPr>
          <w:sz w:val="20"/>
          <w:szCs w:val="20"/>
          <w:color w:val="auto"/>
        </w:rPr>
      </w:pPr>
    </w:p>
    <w:p>
      <w:pPr>
        <w:ind w:left="20" w:right="80"/>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summary historical and unaudited pro forma combined financial data as of the dates and for the periods presented. The summary historical combined financial data of SpinCo as of and for the years ended December 31, 2021 and 2020, were derived from the audited combined financial statements of SpinCo, which are included elsewhere in this information statement. We derived the summary historical combined financial data as of and for the six months ended June 30, 2022 from our unaudited condensed combined financial statements included elsewhere in this information statement. The summary combined financial data presented below should be read in conjunction with the audited combined financial statements and related notes included elsewhere in this information statement, “Management’s Discussion and Analysis of Financial Condition and Results Operations” and “Unaudited Pro Forma Combined Financial Information.”</w:t>
      </w:r>
    </w:p>
    <w:p>
      <w:pPr>
        <w:spacing w:after="0" w:line="138"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The summary historical combined financial data does not necessarily reflect what our results of operations and financial position would have been if we had operated as a separate publicly traded entity during all periods presented, including changes that will occur in our operations and capitalization as a result of the Distribution. Accordingly, the historical results should not be relied upon as an indicator of our future performance.</w:t>
      </w:r>
    </w:p>
    <w:p>
      <w:pPr>
        <w:spacing w:after="0" w:line="126"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auto"/>
        </w:rPr>
        <w:t>Our unaudited pro forma combined statement of operations data for the year ended December 31, 2021 and the six months ended June 30, 2022 assumes that the Separation and Distribution occurred as of January 1, 2021. The unaudited pro forma combined balance sheet as of June 30, 2022 gives effect to the Separation and the Distribution as if it had occurred on June 30, 2022. The unaudited transaction accounting and autonomous entity adjustments are based on assumptions that management believes are reasonable under the circumstances and given the information available at this time. The summary unaudited pro forma combined financial information is for illustrative and informational purposes only and does not purport to represent what the financial position or results of operations would have been if SpinCo had operated as an independent company during the periods presented or if the transactions described therein had actually occurred as of the date indicated, nor does it project the financial position at any future date or the results of operations for any future period. See the notes to the unaudited pro forma combined financial statements included elsewhere in this information statement for a discussion of adjustments reflected in the unaudited pro forma combined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80" w:type="dxa"/>
            <w:vAlign w:val="bottom"/>
            <w:gridSpan w:val="1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4"/>
                <w:szCs w:val="14"/>
                <w:b w:val="1"/>
                <w:bCs w:val="1"/>
                <w:color w:val="auto"/>
              </w:rPr>
              <w:t>Historical</w:t>
            </w: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69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Combined Statement of Operations Data: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193,172</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181,486</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54,223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20" w:type="dxa"/>
            <w:vAlign w:val="bottom"/>
            <w:shd w:val="clear" w:color="auto" w:fill="CCEEFF"/>
          </w:tcPr>
          <w:p>
            <w:pPr>
              <w:spacing w:after="0"/>
              <w:rPr>
                <w:sz w:val="19"/>
                <w:szCs w:val="19"/>
                <w:color w:val="auto"/>
              </w:rPr>
            </w:pPr>
          </w:p>
        </w:tc>
      </w:tr>
      <w:tr>
        <w:trPr>
          <w:trHeight w:val="463"/>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80" w:type="dxa"/>
            <w:vAlign w:val="bottom"/>
            <w:gridSpan w:val="1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8"/>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20" w:type="dxa"/>
            <w:vAlign w:val="bottom"/>
            <w:tcBorders>
              <w:top w:val="single" w:sz="8" w:color="auto"/>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68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Combined Statement of Operations Data: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249,884</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247,183</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92,695</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49,522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(107,545)</w:t>
            </w:r>
          </w:p>
        </w:tc>
        <w:tc>
          <w:tcPr>
            <w:tcW w:w="20" w:type="dxa"/>
            <w:vAlign w:val="bottom"/>
          </w:tcPr>
          <w:p>
            <w:pPr>
              <w:spacing w:after="0"/>
              <w:rPr>
                <w:sz w:val="19"/>
                <w:szCs w:val="19"/>
                <w:color w:val="auto"/>
              </w:rPr>
            </w:pPr>
          </w:p>
        </w:tc>
      </w:tr>
      <w:tr>
        <w:trPr>
          <w:trHeight w:val="463"/>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3"/>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6"/>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r>
      <w:tr>
        <w:trPr>
          <w:trHeight w:val="121"/>
        </w:trPr>
        <w:tc>
          <w:tcPr>
            <w:tcW w:w="20" w:type="dxa"/>
            <w:vAlign w:val="bottom"/>
          </w:tcPr>
          <w:p>
            <w:pPr>
              <w:spacing w:after="0"/>
              <w:rPr>
                <w:sz w:val="10"/>
                <w:szCs w:val="10"/>
                <w:color w:val="auto"/>
              </w:rPr>
            </w:pPr>
          </w:p>
        </w:tc>
        <w:tc>
          <w:tcPr>
            <w:tcW w:w="690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Combined Balance Sheet Data: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6"/>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0"/>
                <w:szCs w:val="20"/>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20" w:type="dxa"/>
            <w:vAlign w:val="bottom"/>
          </w:tcPr>
          <w:p>
            <w:pPr>
              <w:spacing w:after="0"/>
              <w:rPr>
                <w:sz w:val="20"/>
                <w:szCs w:val="20"/>
                <w:color w:val="auto"/>
              </w:rPr>
            </w:pPr>
          </w:p>
        </w:tc>
      </w:tr>
    </w:tbl>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320" w:hanging="308"/>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w:t>
      </w:r>
    </w:p>
    <w:p>
      <w:pPr>
        <w:sectPr>
          <w:pgSz w:w="11900" w:h="16838" w:orient="portrait"/>
          <w:cols w:equalWidth="0" w:num="1">
            <w:col w:w="10240"/>
          </w:cols>
          <w:pgMar w:left="82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40"/>
          </w:cols>
          <w:pgMar w:left="820" w:top="1440" w:right="839"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In connection with any investment decision with respect to our securities, you should carefully consider the risk factors described below, as well as general economic and business risks and the other information contained in this information statement on Form 10. The occurrence of any of the events or circumstances described below or other adverse events could have a material adverse effect on our business, results of operations and financial condition and could cause the trading price of our common shares to decline. Additional risks or uncertainties not presently known to us or that we currently deem immaterial may also harm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05"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were incorporated on May 2, 2022 as a direct, wholly- owned subsidiary of RemainCo. SpinCo’s operations to date have been largely focused on organizing and staffing, raising capital and in-licensing the rights to, and advancing the development of, our product candidates, including conducting preclinical studies and clinical trials. We have not yet demonstrated an ability to obtain marketing approvals for any product candidates,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as a business of RemainCo and anticipate that we will continue to incur substantial operating losses for the foreseeable future and may never achieve or maintain profitability.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inception as a business of RemainCo, we have incurred significant operating losses. Our net loss was $213.8 million for the year</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ended December 31, 2021 and $300.3 million for the six months ended June 30, 2022. We expect to continue to incur significant expenses and increasing operating losses for the foreseeable future. None of our product candidates has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3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continue, or complete planned or ongoing clinical trials of our current product candidates, including related support activities;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progress other supporting studies required for regulatory approval of our product candidates, including long-term safety studies, drug-drug interaction studies, preclinical toxicology and carcinogenicity studies;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required milestone and royalty payments under the license agreements by which we acquired some of the rights to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indications for our current product candidates and any future product candidates that we may pursue;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portfolio of product candidates through the acquisition or in-license of additional product candidates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 candidate for which we may obtain marketing approval;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51" w:right="339" w:bottom="1440" w:gutter="0" w:footer="0" w:header="0"/>
        </w:sectPr>
      </w:pPr>
    </w:p>
    <w:bookmarkStart w:id="28" w:name="page29"/>
    <w:bookmarkEnd w:id="28"/>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medical, commercial, and development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never succeed in any or all of these activities and, even if we do, we may never generate sufficient revenue to achieve profitability.</w:t>
      </w:r>
    </w:p>
    <w:p>
      <w:pPr>
        <w:spacing w:after="0" w:line="17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United States Food and Drug Administration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pursue our business objectives. If we are unable to raise capital when needed or on terms favorable to us, we could be forced to curtail our planned operations and the pursuit of our growth strategy.</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regulatory approval and achieve product sales. We expect our expenses to increase in connection with our ongoing activities, particularly as we continue to develop our product candidates. Our expenses could increase beyond our current expectations if the FDA requires us to perform clinical trials and other studies in addition to those that we currently anticipate. For example, for our troriluzole clinical program, we are conducting an additional Phase 2/3 clinical trial in SCA incorporating feedback from the FDA in response to discussion that we had with the FDA regarding proposed modifications to the scale for assessment and rating of Ataxia, the primary endpoint in the trial. The FDA requires us to conduct additional clinical trials of troriluzole, or any of our other product candidates, we would incur substantial additional, unanticipated expenses in order to obtain regulatory approval of those product candidates.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our product candidates, if approved, may not achieve commercial success. Our revenue, if any, will be derived from sales of products that we do not expect to be commercially available for a number of years, if at all. Additionally, if we obtain marketing approval for our product candidates, we expect to incur significant expenses related to manufacturing, marketing, sales and distribution and, with respect to certain of our product candidates, the payment of milestone and royalty fees. Furthermore, we expect to incur additional costs associated with operating as a public company.</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the closing date of the Merger, we expect to have approximately $257.8 million in cash. We expect that our existing cash will be sufficient to fund our planned operating expenses, financial commitments and other cash requirements for at least 12 months from the date of filing of this report.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and changes in regulation. Our future capital requirements will depend on many factors, including:</w:t>
      </w:r>
    </w:p>
    <w:p>
      <w:pPr>
        <w:spacing w:after="0" w:line="12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preclinical studies and clinical trials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under our license agreements;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01" w:right="339" w:bottom="1440" w:gutter="0" w:footer="0" w:header="0"/>
        </w:sectPr>
      </w:pPr>
    </w:p>
    <w:bookmarkStart w:id="29" w:name="page30"/>
    <w:bookmarkEnd w:id="29"/>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 candidates and technologies;</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drug manufacturing, marketing, sales and distribution, for any of our product candidates for which we receive marketing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 for the development or commercialization of some of our product candidates; and</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brought by third parties against us.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seek regulatory approval. If we receive regulatory approval for any of our product candidates, we expect to incur significant commercialization expenses related to product manufacturing, sales, marketing and distribution. Any additional capital-raising efforts may divert our management from their day-to-day activities, which may adversely affect our ability to develop and commercialize our current and future product candidates, if approved.</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future financing will be available on a timely basis, in sufficient amounts or on terms acceptable to us, if at all. Moreover, the terms of any financing may adversely affect the holdings or the rights of our shareholders and the issuance of additional securities by us, whether equity or debt, or the market perception that such issuances are likely to occur, could cause the market price of our common shares to decline. As a result, we may not be able to access the capital markets as frequently as comparable U.S. companies. If we are unable to obtain funding on a timely basis on acceptable terms, we may be required to significantly curtail, delay or discontinue one or more of our research or development programs or the commercialization of any product candidates, if approved, or be unable to expand our operations or otherwise capitalize on our business opportunities, as desired.</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Until such time as we can generate substantial product revenue, if ever, we expect to finance our operations through a combination of equity offerings, debt financings and license and development agreements in connection with any future collaborations. We do not have any committed external source of funds. In the event we seek additional funds, we may raise additional capital through the sale of equity or convertible debt securities. In such an event, our existing shareholders may experience substantial dilution, and the terms of these securities may include liquidation or other preferences that adversely affect the rights of the holders of our common shares. Debt financing, if available, could result in increased fixed payment obligations and may involve agreements that include restrictive covenants, such as limitations on our ability to incur additional debt, make capital expenditures, acquire, sell or license intellectual property rights or declare dividends, and other operating restrictions that could hurt our ability to conduct our business.</w:t>
      </w:r>
    </w:p>
    <w:p>
      <w:pPr>
        <w:spacing w:after="0" w:line="13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Further, if we raise additional capital through collaborations, strategic alliances, or marketing, distribution, licensing or funding arrangements with third parties, we may have to relinquish valuable rights to our intellectual property future revenue streams, research programs or product candidates, or grant licenses on terms that may not be favorable to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depends entirely on the success of a limited number of product candidates, which are in clinical development. If we do not obtain or are delayed in obtaining regulatory approval for and successfully commercialize one or more of our product candidates, our business, financial condition and results of operations could be materially impacted and we may never become profitable.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have any products that have received regulatory approval and may never be able to develop product candidates that receive regulatory approval or are successfully commercialized after regulatory approval is received. We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01" w:right="3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expect that a substantial portion of our efforts and expenses over the next few years will be devoted to the development of our product candidates; specifically, completion of our Phase 3 clinical trials of troriluzole in OCD, the completion of our Phase 3 clinical trial of verdiperstat in ALS, the initiation of a Phase 1 clinical trial for BHV-7000 in focal epilepsy, completion of a Phase 2/3 clinical trial of troriluzole in glioblastoma, and the completion of a Phase 3 clinical trial of BHV-2000 in SMA. As a result, our business currently depends heavily on the successful development, regulatory approval and, if approved, commercialization of these product candidates. We cannot be certain that we will be able to submit a new drug application (“NDA”) or comparable applications in other jurisdictions for any of our product candidates within the timeframes we expect, or that any NDA or similar application we submit will be accepted by the FDA or comparable foreign regulators for filing in a timely manner or at all. The research, testing, manufacturing, safety, efficacy, labeling, approval, sale, marketing and distribution of our product candidates are, and will remain, subject to comprehensive regulation by the FDA and similar foreign regulatory authorities. The success of our product candidates will depend on various factors, including:</w:t>
      </w:r>
    </w:p>
    <w:p>
      <w:pPr>
        <w:spacing w:after="0" w:line="134"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trials that demonstrate our product candidates’ efficacy and safety;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any post-marketing studies required by applicable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by patients, the medical community and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 including with respect to the sales and marketing of our product candidates, if approved;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maintaining, enforcing and defending our intellectual property rights and claims.</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time needed to adequately complete clinical testing, the regulatory submission process, potential threats to our intellectual property rights and changes in the competitive landscape. Our failure to achieve one or more of these factors in a timely manner or at all could materially harm our business, financial condition and results of operations.</w:t>
      </w:r>
    </w:p>
    <w:p>
      <w:pPr>
        <w:spacing w:after="0" w:line="11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testing is expensive and can take many years to complete, and delay or failure can occur at any time during the clinical trial process.</w:t>
      </w:r>
    </w:p>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example, in September 2021, we reported negative topline results from our Phase 3 clinical trial evaluating verdiperstat compared to placebo for the treatment of participants with MSA. While these efficacy results do not support continued development of verdiperstat as a treatment for MSA, we have ongoing studies evaluating verdiperstat in other disease indications. There can be no assurance that any of these trials will produce positive results.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results generated to date in preclinical studies or clinical trials for our product candidates do not ensure that later preclinical studies or clinical trials will demonstrate similar results. Further, we have limited clinical data for many of our product candidates. Product candidates in later stages of clinical trials may fail to show the desired safety and efficacy traits despite having progressed through preclinical and earlier stage clinical trials. In later-stage clinical trials, we will likely be subject to more rigorous statistical analyses than in completed earlier stage clinical trials.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20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differences in the size and type of the patient populations, adherence to the dosing regimen, and the rate of dropout among clinical trial participants.</w:t>
      </w:r>
    </w:p>
    <w:p>
      <w:pPr>
        <w:spacing w:after="0" w:line="17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Because we in-licensed BHV-5000 and verdiperstat from AstraZeneca, we were not involved in and had no control over the preclinical and clinical development of these product candidates prior to entering into these in-license agreements. In addition, we are relying on AstraZeneca to have conducted such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delayed, suspended or terminated for many reasons, which will increase our expenses and delay the time it takes to develop our product candidates.</w:t>
      </w:r>
    </w:p>
    <w:p>
      <w:pPr>
        <w:spacing w:after="0" w:line="10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experience delays in our ongoing or future preclinical studies or clinical trials, and we do not know whether future preclinical studies or clinical trials need to be redesigned, enroll an adequate number of patients on time or begin or be completed on schedule, if at all. The commencement and completion of clinical trials for our clinical product candidates may be delayed, suspended or terminated as a result of many factors, including:</w:t>
      </w:r>
    </w:p>
    <w:p>
      <w:pPr>
        <w:spacing w:after="0" w:line="12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regulators disagreeing as to the design, protocol or implementation of our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refusal of regulators (including the FDA) or institutional review boards (“IRBs”) to authorize us to commence a clinical trial;</w:t>
      </w:r>
    </w:p>
    <w:p>
      <w:pPr>
        <w:spacing w:after="0" w:line="17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(including the FDA), IRBs, ethics committees of the institutions at which trials are being conducted or the data safety monitoring board for such trials requiring that we or our investigators suspend or terminate clinical research for various reasons, including noncompliance with regulatory requirements (including the FDA’s current Good Clinical Practice (“GCP”) regulations) or our clinical protocols, safety concerns, adverse side effects, or lack of adequate funding to continue the clinical trial, among others;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reach agreement on acceptable terms with prospective clinical research organization (“CROs”) and clinical trial sites, the terms of which can be subject to extensive negotiation and may vary significantly among different CROs and trial sites; delays in patient enrollment and variability in the number and types of patients available for clinical trials;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trials, particularly in orphan indications, to observe statistically significant treatment effects in the trial;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clinical sites deviate from the trial protocol or dropping out of a trial;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ongoing preclinical studies or clinical trials, which may require us to conduct additional preclinical studies or clinical trials or to abandon projects that we expect to be promising;</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(including due to reports from testing of similar therapies) that could cause us to suspend or terminate a trial if we find that the participants are being exposed to unacceptable health risks;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201" w:right="359" w:bottom="1440" w:gutter="0" w:footer="0" w:header="0"/>
        </w:sectPr>
      </w:pPr>
    </w:p>
    <w:bookmarkStart w:id="32" w:name="page33"/>
    <w:bookmarkEnd w:id="32"/>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or obtain sufficient quantities of the product candidate to commence or complete clinical trials;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budgeted costs due to difficulty in accurately predicting costs associated with clinical trials.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our costs, slow down our product candidate development and approval process and jeopardize our ability to commence product sales and generate revenue from product sales.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agencies are lengthy, time-consuming and unpredictable.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we nor any future collaborator is permitted to market any of our product candidates in the United States or abroad until we receive regulatory approval of an NDA from the FDA or approval from the EMA, NMPA or other applicable foreign regulatory agency. The time required to obtain approval by the FDA is unpredictable but typically takes many years following the commencement of clinical trials and depends upon numerous factors, including those beyond our control, such as the substantial discretion of the regulatory authorities. In addition, approval policies, regulations, or the type and amount of clinical data necessary to gain approval is generally uncertain, may change during the course of a product candidate’s clinical development and may vary among jurisdictions.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any jurisdiction, we must demonstrate to the satisfaction of the FDA, EMA, NMPA or any comparable foreign regulatory agency, that such product candidates are safe and effective for their intended uses. The FDA, EMA, NMPA or any comparable foreign regulatory agency can delay, limit or deny approval of our product candidates or require us to conduct additional preclinical or clinical testing or abandon a program for many reasons, including:</w:t>
      </w:r>
    </w:p>
    <w:p>
      <w:pPr>
        <w:spacing w:after="0" w:line="126" w:lineRule="exact"/>
        <w:rPr>
          <w:sz w:val="20"/>
          <w:szCs w:val="20"/>
          <w:color w:val="auto"/>
        </w:rPr>
      </w:pPr>
    </w:p>
    <w:p>
      <w:pPr>
        <w:ind w:left="660" w:right="30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NMPA or the applicable foreign regulatory agency’s disagreement with the number, design, conduct or implementation of our preclinical studies and clinical trials;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that may not meet the level of statistical significance required by the FDA, EMA, NMPA or any comparable foreign regulatory agency for approval;</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drugs similar to our product candidates;</w:t>
      </w:r>
    </w:p>
    <w:p>
      <w:pPr>
        <w:spacing w:after="0" w:line="107"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EMA, NMPA or the applicable foreign regulatory agency that our product candidates are safe and effective for their proposed indications, or that the clinical and other benefits of our product candidates outweigh any safety or other perceived risks;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EMA’s, NMPA’s or the applicable foreign regulatory agency’s disagreement with the interpretation of data from preclinical studies or clinical trials;</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CROs that we retain to conduct our preclinical studies and clinical trials, which are outside of our control and that materially adversely impact our preclinical studies and clinical trials;</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EMA’s, NMPA’s or the applicable foreign regulatory agency’s disagreement regarding the formulation, labeling or the specifications of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EMA’s, NMPA’s or the applicable foreign regulatory agency’s failure to approve the manufacturing processes or facilities of third-party manufacturers with which we contract;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201" w:right="359" w:bottom="1440" w:gutter="0" w:footer="0" w:header="0"/>
        </w:sectPr>
      </w:pPr>
    </w:p>
    <w:bookmarkStart w:id="33" w:name="page34"/>
    <w:bookmarkEnd w:id="33"/>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EMA, NMPA or the applicable foreign regulatory agencies to significantly change in a manner rendering our clinical data insufficient for approval.</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with respect to our second planned randomized, controlled clinical trial of troriluzole for the treatment of SCA, we undertook discussions with the FDA regarding the acceptability of the primary endpoint and necessary secondary endpoints, including our proposal to use a modified SARA scale. In our first Phase 2/3 clinical trial, the FDA stated that while certain items measured by the SARA scale appeared capable of reflecting a clinically meaningful benefit for patients depending on how the scoring of those items is defined, the use of the SARA scale was not appropriate as a primary endpoint in the trial. Based on our post-hoc analyses of data from the open-label extension phase of the trial, we proposed modifications to the SARA scale that we believe may address some of these shortcomings. Based on feedback received from the FDA, we are incorporating trial design modifications that include utilization of a modified SARA scale. However, notwithstanding the feedback that we have received from the FDA, there remains substantial risk that even if we receive acceptable results from this second trial, the FDA or any foreign regulatory agency may nevertheless conclude that results obtained using the modified SARA scale would not be an adequate basis for approval.</w:t>
      </w:r>
    </w:p>
    <w:p>
      <w:pPr>
        <w:spacing w:after="0" w:line="134"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We generally plan to seek regulatory approval to commercialize our product candidates in the United States, the European Union and other key global markets, which requires compliance with numerous and varying regulatory requirements of such other countries regarding safety, efficacy, chemistry, manufacturing and controls, clinical trials, commercial sales, pricing and distribution of our product candidates. Even if we are successful in obtaining approval in one jurisdiction, we cannot ensure that we will obtain approval in any other jurisdiction. Failure to obtain approval in one jurisdiction may negatively impact our ability to obtain approval elsewhere. If we fail to obtain approval in any jurisdiction, the geographic market for our product candidates could be limited. Similarly, regulatory agencies may not approve the labeling claims that are necessary or desirable for the successful commercialization of our product candidates or may grant approvals for more limited patient populations than requested.</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to demonstrate safety and efficacy in clinical trials, or may cause serious adverse or unacceptable side effects that could prevent or delay regulatory approval and commercialization, limit the commercial profile of an approved label, increase our costs, necessitate the abandonment or limitation of the development of some of our product candidates or result in significant negative consequences following marketing approval, if any.</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efficacy or safety of the product candidate studied for the target indication.</w:t>
      </w:r>
    </w:p>
    <w:p>
      <w:pPr>
        <w:spacing w:after="0" w:line="12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For example, in September 2021 we reported negative topline results from a Phase 3 clinical trial to evaluate the efficacy and safety of verdiperstat in participants with MSA. Results of the trial showed that verdiperstat did not statistically differentiate from placebo on the prespecified primary efficacy measure, nor on the key secondary efficacy measures.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undesirable side effects caused by our product candidates could cause us or regulatory authorities to interrupt, delay or halt clinical trials and could result in a more restrictive label, the limitation of commercial potential or the delay or denial of regulatory approval by the FDA or a foreign regulatory agency. Results of our clinical trials could reveal a high and unacceptable severity and prevalence of side effects or unexpected characteristics. Accordingly, we may need to abandon the development of certain product candidates or limit development to certain uses or sub-populations in which such side effects are less prevalent, less severe or more acceptable from a risk-benefit perspective. Many compounds that initially showed promise in preclinical or early-stage testing have later been found to cause side effects that restricted their use and prevented further development of the compound in the tested indication.</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Occurrence of serious treatment-related side effects could impede subject recruitment and clinical trial enrollment or the ability of enrolled patients to complete the trial, delay the clinical trial, and prevent receipt of regulatory approval from the FDA and other regulators. They could also adversely affect physician or patient acceptance of our product candidates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201" w:right="379" w:bottom="1440" w:gutter="0" w:footer="0" w:header="0"/>
        </w:sectPr>
      </w:pPr>
    </w:p>
    <w:bookmarkStart w:id="34" w:name="page35"/>
    <w:bookmarkEnd w:id="3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Clinical trials of our product candidates by their nature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monitored the subjects in our studies for certain safety concerns and we have not seen evidence of significant safety concerns in our clinical trials. However, if one or more of our product candidates receives regulatory approval, and we, or others, later discover that they are less effective than previously believed, or cause undesirable side effects that had not previously been identified, a number of potentially significant negative consequences could result, including:</w:t>
      </w:r>
    </w:p>
    <w:p>
      <w:pPr>
        <w:spacing w:after="0" w:line="12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similar program or create a medication guide outlining the risks of such side effects for distribution to patients;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additional safety studies prior to approval or post-marketing studies required by regulatory authorities of such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17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financial condition, and results of operations.</w:t>
      </w:r>
    </w:p>
    <w:p>
      <w:pPr>
        <w:spacing w:after="0" w:line="10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are unable to enroll patients in our clinical trials, our research and development efforts could be adversely affected.</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If we are unable to enroll a sufficient number of patients in our clinical trials, our timelines for recruiting patients, conducting clinical trials and obtaining regulatory approval of potential products may be delayed. These delays could result in increased costs, delays in advancing our product development, delays in testing the effectiveness of our technology or termination of our clinical trials altogether. We cannot predict how successful we will be at enrolling patients in future clinical trials. Patient enrollment is affected by other factors including:</w:t>
      </w:r>
    </w:p>
    <w:p>
      <w:pPr>
        <w:spacing w:after="0" w:line="12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w:t>
      </w:r>
    </w:p>
    <w:p>
      <w:pPr>
        <w:spacing w:after="0" w:line="171" w:lineRule="exact"/>
        <w:rPr>
          <w:rFonts w:ascii="Times New Roman" w:cs="Times New Roman" w:eastAsia="Times New Roman" w:hAnsi="Times New Roman"/>
          <w:sz w:val="18"/>
          <w:szCs w:val="18"/>
          <w:color w:val="auto"/>
        </w:rPr>
      </w:pPr>
    </w:p>
    <w:p>
      <w:pPr>
        <w:jc w:val="both"/>
        <w:ind w:left="660" w:right="200" w:hanging="328"/>
        <w:spacing w:after="0" w:line="312" w:lineRule="auto"/>
        <w:tabs>
          <w:tab w:leader="none" w:pos="6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97" w:right="359" w:bottom="1440" w:gutter="0" w:footer="0" w:header="0"/>
        </w:sectPr>
      </w:pPr>
    </w:p>
    <w:bookmarkStart w:id="35" w:name="page36"/>
    <w:bookmarkEnd w:id="35"/>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patients for competitive product candidates undergoing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indication being studied;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6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the licensors of the intellectual property related to our product candidates against certain intellectual property infringement claims.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identify patients who should not use our product candidates.</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our liabilities.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are identified during the use of our product candidates in investigator-sponsored trials, it may adversely affect our development of such product candidates.</w:t>
      </w:r>
    </w:p>
    <w:p>
      <w:pPr>
        <w:spacing w:after="0" w:line="1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nonclinical studies and clinical trials, or could make it more difficult for us to enroll patients in our clinical trials. If serious adverse events or other undesirable side effects or unexpected characteristics of our product candidates are observed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201" w:right="359" w:bottom="1440" w:gutter="0" w:footer="0" w:header="0"/>
        </w:sectPr>
      </w:pPr>
    </w:p>
    <w:bookmarkStart w:id="36" w:name="page37"/>
    <w:bookmarkEnd w:id="36"/>
    <w:p>
      <w:pPr>
        <w:ind w:right="140"/>
        <w:spacing w:after="0" w:line="261" w:lineRule="auto"/>
        <w:rPr>
          <w:sz w:val="20"/>
          <w:szCs w:val="20"/>
          <w:color w:val="auto"/>
        </w:rPr>
      </w:pPr>
      <w:r>
        <w:rPr>
          <w:rFonts w:ascii="Times New Roman" w:cs="Times New Roman" w:eastAsia="Times New Roman" w:hAnsi="Times New Roman"/>
          <w:sz w:val="18"/>
          <w:szCs w:val="18"/>
          <w:color w:val="auto"/>
        </w:rPr>
        <w:t>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product candidates could also result in the delay or denial of regulatory approval by the FDA or other regulatory authorities or in a more restrictive label than we expect.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 on our own or together with suitable collaborators.</w:t>
      </w:r>
    </w:p>
    <w:p>
      <w:pPr>
        <w:spacing w:after="0" w:line="10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Our operations to date have been limited to organizing and staffing our company, business planning, raising capital, acquiring the rights to our product candidates and undertaking preclinical studies and clinical trials of our product candidates. We currently have no sales force, marketing or distribution capabilities. To achieve commercial success of our product candidates, if any are approved, we will have to develop our own sales, marketing and supply capabilities or outsource these activities to a third party.</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such product candidates or be able to achieve or sustain profitability.</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the extent that we enter into collaboration agreements with respect to marketing, sales or distribution of any approved product, our product revenue may be lower than if we directly marketed or sold such product.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respect to troriluzole, which we are currently developing for the treatment of ataxias and other neurologic disorders, with SCA as our initial indication, there are currently no approved drug treatments for spinocerebellar ataxias in the United States. We are also developing troriluzole for the potential treatment of Alzheimer’s disease, OCD and generalized anxiety disorder (“GAD”) and if we continue to pursue those indications, we would face substantial competition from companies that develop or sell products that treat Alzheimer’s disease, OCD or GAD. With respect to BHV-5000, which we are developing for the treatment of neuropsychiatric conditions the market size and competition will depend on each indication. For example, indications such as CRPS and Rett syndrome have limited treatment options while other indications, such as depression, have multiple approved treatments.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 companies which we are competing with or which we may compete with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our competitors.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01" w:right="339" w:bottom="1440" w:gutter="0" w:footer="0" w:header="0"/>
        </w:sectPr>
      </w:pPr>
    </w:p>
    <w:bookmarkStart w:id="37" w:name="page38"/>
    <w:bookmarkEnd w:id="3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 biopharmaceutical industry. Our competitors may succeed in developing, acquiring or licensing, on an exclusive basis, products that are more effective or less costly than any product candidates that we may develop.</w:t>
      </w:r>
    </w:p>
    <w:p>
      <w:pPr>
        <w:spacing w:after="0" w:line="12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research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and in discovering, developing, receiving FDA approval for or commercializing drugs before we do, which would have an adverse impact on our business and results of operations.</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candidates we commercialize, if any. The inability to compete with existing or subsequently introduced drugs would harm our business, financial condition and results of operations.</w:t>
      </w:r>
    </w:p>
    <w:p>
      <w:pPr>
        <w:spacing w:after="0" w:line="10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certain of our product candidates will depend in part on the extent to which governmental authorities and health insurers establish adequate coverage, reimbursement levels and pricing policies. Failure to obtain or maintain adequate coverage and reimbursement for our product candidates, if approved, could limit our ability to market those products and decrease our ability to generate revenue.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third-party payors will have an effect on our ability to successfully commercialize our product candidates, if approved,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 that coverage and adequate reimbursement in the United States, the European Union or elsewhere will be available for any product that we may develop, and any reimbursement that becomes available may be decreased or eliminated in the future.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Our competitors may offer their products and services on a less expensive basis to gain coverage and reimbursement from third-party payors. It is possible that a third-party payor may consider our product candidates as substitutable by less expensive therapies and only offer to reimburse patients for the less expensive product. Even if we show improved efficacy or improved convenience of administration with our product candidates, pricing of existing drugs may limit the amount we will be able to charge for our product candidates, once approved. These payors may deny or revoke the reimbursement status of a given product or establish prices for new or existing marketed products at levels that are too low to enable us to realize an appropriate return on our investment in product development.</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devices or therapies.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and costly. No uniform policy for coverage and reimbursement for products exists among third-party payors in the United States.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01" w:right="33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t>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continuing efforts of the government, insurance companies, managed care organizations and other payors of healthcare services to contain or reduce costs of healthcare may adversely affect:</w:t>
      </w:r>
    </w:p>
    <w:p>
      <w:pPr>
        <w:spacing w:after="0" w:line="12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adequate reimbursement approval for a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our product candidates, they will remain subject to ongoing regulatory oversight.</w:t>
      </w:r>
    </w:p>
    <w:p>
      <w:pPr>
        <w:spacing w:after="0" w:line="17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Even if we obtain regulatory approval for any of our product candidates, they will be subject to extensive and ongoing regulatory requirements for manufacturing processes, labeling, packaging, distribution, adverse event reporting, storage, advertising, promoting, sampling and record-keeping. These requirements include submissions of safety and other post-marketing information and reports, registration, as well as continued compliance with current good manufacturing practices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may not be able to adapt to changes in existing requirements or the adoption of new requirements or policies.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12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warning or untitled letters;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 injunction or imposing civil or criminal penalties or monetary fines;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product manufacturing;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products, refusal to permit the import or export of products, or requesting that we initiate a product recall;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our marketing authorizations;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applications submitted by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conduct additional clinical trials, change our product labeling or submit additional applications for marketing authorization.</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20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that is found to have improperly promoted off-label uses may be subject to significant civil, criminal and administrative penalties.</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 may be impaired, and we may incur substantial additional expenses to comply with regulatory requirements, which could adversely affect our business, financial condition and results of operations.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Even if the FDA approves the marketing of any product candidates that we develop, physicians, patients, third-party payors or the medical community may not accept or use them. Efforts to educate the medical community and third-party payors on the benefits of our product candidates may require significant resources and may not be successful. Such efforts may require more resources than are typically required due to the complexity and uniqueness of our product candidates. If any of our product candidates do not achieve an adequate level of acceptance, we may not generate significant product revenue or any profits from operations. Because we expect sales of our product candidates, if approved, to generate substantially all of our product revenue for the foreseeable future, the failure of our product candidates to find market acceptance would harm our business and could require us to seek additional financing. The degree of market acceptance of our product candidates that are approved for commercial sale will depend on a variety of factors, including:</w:t>
      </w:r>
    </w:p>
    <w:p>
      <w:pPr>
        <w:spacing w:after="0" w:line="135" w:lineRule="exact"/>
        <w:rPr>
          <w:sz w:val="20"/>
          <w:szCs w:val="20"/>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cost, convenience and ease of administration, and other potential advantages compared to alternative treatments, including any similar generic treatments;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out-of-pocket in the absence of third-party coverage or adequate reimbursement;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potential market opportunity for our product candidates is difficult to estimate precisely. Our estimates of the potential market opportunity are predicated on several key assumptions such as industry knowledge and publications, third-party research reports and other surveys. While we believe that our internal assumptions are reasonable, these assumptions may be inaccurate. If any of the assumptions proves to be inaccurate, then the actual market for our product candidates could be smaller than our estimates of the potential market opportunity, our revenue from product sales may be limited and we may be unable to achieve or maintain profitability.</w:t>
      </w:r>
    </w:p>
    <w:p>
      <w:pPr>
        <w:spacing w:after="0" w:line="1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sufficient periods of exclusivity before approving generic versions of our products, the sales of our products could be adversely affected.</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U.S. Federal Food, Drug, and Cosmetic Act (“FDCA”) provides a period of five years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201" w:right="359" w:bottom="1440" w:gutter="0" w:footer="0" w:header="0"/>
        </w:sectPr>
      </w:pPr>
    </w:p>
    <w:bookmarkStart w:id="40" w:name="page41"/>
    <w:bookmarkEnd w:id="40"/>
    <w:p>
      <w:pPr>
        <w:ind w:right="240"/>
        <w:spacing w:after="0" w:line="261" w:lineRule="auto"/>
        <w:rPr>
          <w:sz w:val="20"/>
          <w:szCs w:val="20"/>
          <w:color w:val="auto"/>
        </w:rPr>
      </w:pPr>
      <w:r>
        <w:rPr>
          <w:rFonts w:ascii="Times New Roman" w:cs="Times New Roman" w:eastAsia="Times New Roman" w:hAnsi="Times New Roman"/>
          <w:sz w:val="18"/>
          <w:szCs w:val="18"/>
          <w:color w:val="auto"/>
        </w:rPr>
        <w:t>of non-patent exclusivity for a new drug containing a new chemical element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2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While we believe that troriluzole, a prodrug of riluzole will be treated as NCEs under current FDA interpretations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7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clinical trials and if these third parties perform in an unsatisfactory manner, our business could be substantially harmed.</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historically conducted, and we intend to continue to conduct our clinical trials using our own clinical resources, while also leveraging expertise and assistance from medical institutions, clinical investigators, contract laboratories and other third parties, such as contract research organizations (“CROs”) as appropriate. We are reliant upon such third parties to assist us in conducting GCP-compliant clinical trials on our product candidates properly and on time, and may not currently have all of the necessary contractual relationships in place to do so. Once we have established contractual relationships with such third-parties, we will have only limited control over their actual performance of these activities.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our CROs and other vendors are required to comply with cGMP, GCP and good laboratory practices (“GLP”), which are regulations and guidelines enforced by the FDA, the Competent Authorities of the Member States of the European Union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EMA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will have agreements governing their activities, we are not, and will not be able to control whether or not our CROs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If our CROs do not successfully carry out their contractual duties or obligations, or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Though we intend to carefully manage our relationships with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201" w:right="359" w:bottom="1440" w:gutter="0" w:footer="0" w:header="0"/>
        </w:sectPr>
      </w:pPr>
    </w:p>
    <w:bookmarkStart w:id="41" w:name="page42"/>
    <w:bookmarkEnd w:id="41"/>
    <w:p>
      <w:pPr>
        <w:ind w:right="20"/>
        <w:spacing w:after="0" w:line="282" w:lineRule="auto"/>
        <w:rPr>
          <w:sz w:val="20"/>
          <w:szCs w:val="20"/>
          <w:color w:val="auto"/>
        </w:rPr>
      </w:pPr>
      <w:r>
        <w:rPr>
          <w:rFonts w:ascii="Times New Roman" w:cs="Times New Roman" w:eastAsia="Times New Roman" w:hAnsi="Times New Roman"/>
          <w:sz w:val="18"/>
          <w:szCs w:val="18"/>
          <w:color w:val="auto"/>
        </w:rPr>
        <w:t>our CROs, there can be no assurance that we will not encounter challenges or delays in the future or that these delays or challenges will not have a negative impact on our business and financial condition.</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contractors to supply, manufacture and distribute clinical drug supplies for our product candidates, including certain sole-source suppliers and manufacturers; we intend to rely on third parties for commercial supply, manufacturing and distribution if any of our product candidates receive regulatory approval; and we expect to rely on third parties for supply, manufacturing and distribution of preclinical, clinical and commercial supplies of any future product candidates.</w:t>
      </w:r>
    </w:p>
    <w:p>
      <w:pPr>
        <w:spacing w:after="0" w:line="1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do not currently have, nor do we plan to acquire, the internal infrastructure or capability to supply, manufacture or distribute preclinical, clinical or commercial quantities of drug substances or products.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develop our product candidates depends and our ability to commercially supply our products will depend, in part, on our ability to successfully obtain the active pharmaceutical ingredients (“APIs”) and other substances and materials used in our product candidates from third parties and to have finished products manufactured by third parties in accordance with regulatory requirements and in sufficient quantities for preclinical and clinical testing and commercialization. If we fail to develop and maintain supply relationships with these third parties, we may be unable to continue to develop or commercialize our product candidates.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have auditing rights with all our current manufacturing counterparties, we do not have direct control over the ability of our contract suppliers and manufacturers to maintain adequate capacity and capabilities to serve our needs, including quality control, quality assurance and qualified personnel. Although we are ultimately responsible for ensuring compliance with regulatory requirements such as cGMPs, we are dependent on our contract suppliers and manufacturers for day-to-day compliance with cGMPs for production of both APIs and finished products.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spacing w:after="0" w:line="134"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product candidates under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own facilities to additional inspections by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manufacturing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obtained approvals;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commercial demands for our product candidates in the event of approval.</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our being unable to effectively commercialize our approved products on a timely basis, or at all.</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may rely on certain third parties as the sole source of the materials they supply or the finished products they manufacture. We may also have sole-source suppliers for one or more of our other product candidates. Some of the APIs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201" w:right="359" w:bottom="1440" w:gutter="0" w:footer="0" w:header="0"/>
        </w:sectPr>
      </w:pPr>
    </w:p>
    <w:bookmarkStart w:id="42" w:name="page43"/>
    <w:bookmarkEnd w:id="42"/>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an existing supplier or manufacturer fails to supply or manufacture, as applicable, product on a timely basis or in the requested amount, fails to meet regulatory requirements or our specifications, becomes unavailable through business interruption or financial insolvency or loses its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these contract manufacturers are or may be engaged with other companies to supply and manufacture materials or products for such companies, which also exposes our suppliers and manufacturers to regulatory risks for the production of such materials and products. As a result, failure to meet the regulatory requirements for the production of those materials and products may also affect the regulatory clearance of a contract supplier’s or manufacturer’s facility. If the FDA or a comparable foreign regulatory agency does not approve these facilities for the supply or manufacture of our product candidates, or if it withdraws its approval in the future, we may need to find alternative supply or manufacturing facilities, which would negatively impact our ability to develop, obtain regulatory approval of or market our product candidates, if approved.</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 candidates may be delayed or interrupted. In addition, third-party suppliers and manufacturers may have the ability to increase the price payable by us for the supply of the APIs and other substances and materials used in our product candidates, in some cases without our consent.</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any damages to or destruction of our third-party manufacturers’ or suppliers’ facilities or equipment may significantly impair our ability to have our product candidates manufactured on a timely basis. Furthermore, if a contract manufacturer or supplier becomes financially distressed or insolvent, or discontinues our relationship beyond the term of any existing agreement for any other reason, this could result in substantial management time and expense to identify, qualify and transfer processes to alternative manufacturers or suppliers, and could lead to an interruption in clinical or commercial supply.</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the manufacturing facilities of certain of our suppliers are located outside of the United States. This may give rise to difficulties in importing our products or product candidates or their components into the United States or other countries as a result of, among other things, regulatory agency approval requirements or import inspections, incomplete or inaccurate import documentation or defective packaging.</w:t>
      </w:r>
    </w:p>
    <w:p>
      <w:pPr>
        <w:spacing w:after="0" w:line="11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which may include transferring production to new third-party suppliers or manufacturers. In order to conduct larger or late-stage scale clinical trials for our product candidates and supply sufficient commercial quantities of the resulting drug product and its components, if that product candidate is approved for sale, our contract manufacturers and suppliers will need to produce our product candidates in larger quantities, more cost effectively and, in certain cases, at higher yields than they currently achieve. We, or our manufacturers, may be unable to successfully increase the manufacturing capacity for any of our product candidates in a timely or cost-effective manner, or at all. In addition, quality issues may arise during scale-up activities because of the inherent properties of a product candidate itself or of a product candidate in combination with other components added during the manufacturing and packaging process, or during shipping and storage of the APIs or the finished product. If we, or any of our manufacturers, are unable to successfully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01" w:right="339" w:bottom="1440" w:gutter="0" w:footer="0" w:header="0"/>
        </w:sectPr>
      </w:pPr>
    </w:p>
    <w:bookmarkStart w:id="43" w:name="page44"/>
    <w:bookmarkEnd w:id="43"/>
    <w:p>
      <w:pPr>
        <w:ind w:right="40"/>
        <w:spacing w:after="0" w:line="261" w:lineRule="auto"/>
        <w:rPr>
          <w:sz w:val="20"/>
          <w:szCs w:val="20"/>
          <w:color w:val="auto"/>
        </w:rPr>
      </w:pPr>
      <w:r>
        <w:rPr>
          <w:rFonts w:ascii="Times New Roman" w:cs="Times New Roman" w:eastAsia="Times New Roman" w:hAnsi="Times New Roman"/>
          <w:sz w:val="18"/>
          <w:szCs w:val="18"/>
          <w:color w:val="auto"/>
        </w:rPr>
        <w:t>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enter into collaborations with third parties to develop and commercialize our product candidates. If these collaborations are not successful, or if we are not able to establish or maintain these collaborations, our business could be harmed.</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capital to fund expenses. For some of our product candidates, we may decide to collaborate with pharmaceutical and biotechnology companies for the future development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 Collaboration arrangements are complex and time-consuming to negotiate, document, implement and maintain. We may not be successful in our efforts to establish and implement collaborations or other alternative arrangements, and the terms of any collaborations or other arrangements that we may establish may not be favorable to us.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patients, competing or alternative products, the existence of uncertainty with respect to our ownership of technology, which can exist if there is a challenge to such ownership without regard to the merits of the challenge, and industry and market conditions generally. We may also be restricted under existing license agreements from entering into agreements on certain terms with potential collaborators. Even if we are able to obtain a license to intellectual property of interest, we may not be able to secure exclusive rights, in which case others could use the same rights and compete with us.</w:t>
      </w:r>
    </w:p>
    <w:p>
      <w:pPr>
        <w:spacing w:after="0" w:line="1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success of our collaboration arrangements will depend heavily on the efforts and activities of our collaborators. Collaborations are subject to numerous risks, including for example, that the collaborators may not: adequately perform their obligations under the collaboration agreement; devote sufficient resources to the collaboration to ensure success; or agree with us on the strategy or tactical aspects of the collaboration.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such potential future collaborations do not result in the successful development and commercialization of product candidates, or if one of our future collaborators terminates its agreement with us, we may not receive any future research funding or milestone or royalty payments under the collaboration. If we do not receive the funding we expect under these agreements, the development of our product candidates could be delayed and we may need additional resources to develop our product candidates. In addition, if one of our future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apply to the activities of our potential future collaborators.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Affordable Care Act (“ACA”), as amended by the Health Care and Education Reconciliation Act of 2010, or collectively, ACA, was enacted, which substantially changed the way healthcare is financed by both governmental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01" w:right="359" w:bottom="1440" w:gutter="0" w:footer="0" w:header="0"/>
        </w:sectPr>
      </w:pPr>
    </w:p>
    <w:bookmarkStart w:id="44" w:name="page45"/>
    <w:bookmarkEnd w:id="44"/>
    <w:p>
      <w:pPr>
        <w:spacing w:after="0" w:line="266" w:lineRule="auto"/>
        <w:rPr>
          <w:sz w:val="20"/>
          <w:szCs w:val="20"/>
          <w:color w:val="auto"/>
        </w:rPr>
      </w:pPr>
      <w:r>
        <w:rPr>
          <w:rFonts w:ascii="Times New Roman" w:cs="Times New Roman" w:eastAsia="Times New Roman" w:hAnsi="Times New Roman"/>
          <w:sz w:val="18"/>
          <w:szCs w:val="18"/>
          <w:color w:val="auto"/>
        </w:rPr>
        <w:t>private insurers. Since its enactment, there have been judicial, executive and Congressional challenges to certain aspects of the ACA. On June 17, 2021, the U.S. Supreme Court dismissed the most recent judicial challenge to the ACA brought by several states, without specifically ruling on the ACA’s constitutionality. Among the provisions of the ACA, those of greatest importance to the pharmaceutical and biotechnology industries include:</w:t>
      </w:r>
    </w:p>
    <w:p>
      <w:pPr>
        <w:spacing w:after="0" w:line="122" w:lineRule="exact"/>
        <w:rPr>
          <w:sz w:val="20"/>
          <w:szCs w:val="20"/>
          <w:color w:val="auto"/>
        </w:rPr>
      </w:pPr>
    </w:p>
    <w:p>
      <w:pPr>
        <w:ind w:left="660" w:right="70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which is apportioned among these entities according to their market share in certain government healthcare programs;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107"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Innovation at the Centers for Medicare and Medicaid Services (“CMS”), to test innovative payment and service delivery models to lower Medicare and Medicaid spending, potentially including prescription drug spending.</w:t>
      </w:r>
    </w:p>
    <w:p>
      <w:pPr>
        <w:spacing w:after="0" w:line="10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is developing new payment and delivery models, such as bundled payment models. The U.S. Department of Health and Human Services (“HHS”) moved 30% of Medicare payments to alternative payment models tied to the quality or value of services in 2016. Additionally, HHS had set a goal of moving 50% of Medicare payments into these alternative payment models by the end of 2018, but in 2019, it discontinued this performance goal and replaced it with a new developmental goal to increase the percentage of Medicare health care dollars tied to APMs incorporating downside risk, with a target of 40% for fiscal year 2021.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HHS has already started the process of soliciting feedback on some of these measures and, at the same, is immediately implementing others under its existing authority. For example, in September 2018, CMS announced that it will allow Medicare Advantage Plans the option to use step therapy for Part B drugs beginning January 1, 2019, and in May 2019, CMS finalized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However, this rule was struck down by a federal court before it went into effect. Although some of these and other proposals will require authorization through additional legislation to become effective, members of Congress and the Biden Administration have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01" w:right="359" w:bottom="1440" w:gutter="0" w:footer="0" w:header="0"/>
        </w:sectPr>
      </w:pPr>
    </w:p>
    <w:bookmarkStart w:id="45" w:name="page46"/>
    <w:bookmarkEnd w:id="45"/>
    <w:p>
      <w:pPr>
        <w:ind w:right="20"/>
        <w:spacing w:after="0" w:line="253" w:lineRule="auto"/>
        <w:rPr>
          <w:sz w:val="20"/>
          <w:szCs w:val="20"/>
          <w:color w:val="auto"/>
        </w:rPr>
      </w:pPr>
      <w:r>
        <w:rPr>
          <w:rFonts w:ascii="Times New Roman" w:cs="Times New Roman" w:eastAsia="Times New Roman" w:hAnsi="Times New Roman"/>
          <w:sz w:val="18"/>
          <w:szCs w:val="18"/>
          <w:color w:val="auto"/>
        </w:rPr>
        <w:t>stated that they will continue to seek new legislative and administrative measures to control drug costs. In response to an Executive Order from President Biden, the Secretary of HHS recently issued a comprehensive plan for addressing high drug prices that describes a number of legislative approaches and identifies administrative tools to address the high cost of drugs. And Democrats recently included drug pricing reform provisions reflecting elements of the plan in a broader spending package in late 2021—such as capping Medicare Part D patients’ out-of-pocket costs, establishing penalties for drug prices that increase faster than inflation in Medicare, and authorizing the federal government to negotiate prices on certain select, high-cost drugs under Medicare Parts B and 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30, 2018, the Trickett Wendler, Frank Mongiello, Jordan McLinn, and Matthew Bellina Right to Try Act of 2017 (“Right to Try Act”) was signed into law. The law, among other things, provides a federal framework for patients to access certain investigational new drug products that have completed a Phase 1 clinical trial. Under certain circumstances, eligible patients can seek treatment without enrolling in clinical trials and without obtaining FDA approval under the FDA expanded access program.</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European Union (“EU”), similar political, economic and regulatory developments may affect our ability to profitably commercialize any of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1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proposed sales and marketing and education programs and constrain the business or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201" w:right="379" w:bottom="1440" w:gutter="0" w:footer="0" w:header="0"/>
        </w:sectPr>
      </w:pPr>
    </w:p>
    <w:bookmarkStart w:id="46" w:name="page47"/>
    <w:bookmarkEnd w:id="46"/>
    <w:p>
      <w:pPr>
        <w:ind w:right="560"/>
        <w:spacing w:after="0" w:line="266" w:lineRule="auto"/>
        <w:rPr>
          <w:sz w:val="20"/>
          <w:szCs w:val="20"/>
          <w:color w:val="auto"/>
        </w:rPr>
      </w:pPr>
      <w:r>
        <w:rPr>
          <w:rFonts w:ascii="Times New Roman" w:cs="Times New Roman" w:eastAsia="Times New Roman" w:hAnsi="Times New Roman"/>
          <w:sz w:val="18"/>
          <w:szCs w:val="18"/>
          <w:color w:val="auto"/>
        </w:rPr>
        <w:t>and the states in which we conduct our business. Finally, we may be subject to additional healthcare, statutory and regulatory requirements and enforcement by foreign regulatory authorities in jurisdictions in which we conduct our business. The U.S. laws that may affect our ability to operate include:</w:t>
      </w:r>
    </w:p>
    <w:p>
      <w:pPr>
        <w:spacing w:after="0" w:line="122" w:lineRule="exact"/>
        <w:rPr>
          <w:sz w:val="20"/>
          <w:szCs w:val="20"/>
          <w:color w:val="auto"/>
        </w:rPr>
      </w:pPr>
    </w:p>
    <w:p>
      <w:pPr>
        <w:ind w:left="660" w:right="40" w:hanging="328"/>
        <w:spacing w:after="0" w:line="258"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12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34"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29"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enacted as part of the American Recovery and Reinvestment Act of 2009, and its implementing regulations, and as amended again by the Modifications to the HIPAA Privacy, Security, Enforcement and Breach Notification Rules Under HITECH and the Genetic Information Nondiscrimination Act; Other Modifications to the HIPAA Rules, commonly referred to as the Final HIPAA Omnibus Rule, published in January 2013, which imposes certain obligations, including mandatory contractual terms, on covered entities subject to HIPAA (i.e., health plans, healthcare clearinghouses and certain healthcare providers), as well as their business associates that perform certain services for or on their behalf involving the use or disclosure of individually identifiable health information, to safeguard the privacy, security and transmission of individually identifiable health information from any unauthorized use or disclosure;</w:t>
      </w:r>
    </w:p>
    <w:p>
      <w:pPr>
        <w:spacing w:after="0" w:line="1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Payments Sunshine Act, enacted as part of the ACA, and its implementing regulations, which require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129"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w:t>
      </w:r>
    </w:p>
    <w:p>
      <w:pPr>
        <w:spacing w:after="0" w:line="12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201" w:right="359" w:bottom="1440" w:gutter="0" w:footer="0" w:header="0"/>
        </w:sectPr>
      </w:pPr>
    </w:p>
    <w:bookmarkStart w:id="47" w:name="page48"/>
    <w:bookmarkEnd w:id="47"/>
    <w:p>
      <w:pPr>
        <w:ind w:left="660" w:right="28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that require drug manufacturers to file reports relating to pricing and marketing information, which requires tracking gifts and other remuneration and items of value provided to healthcare professionals and entities;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that require the registration of pharmaceutical sales representatives;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governing the privacy and security of personal information, including personal health information in certain circumstances, many of which differ from each other in significant ways and often are not preempted by HIPAA, thus complicating compliance efforts.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current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diminished profits, additional reporting requirements and oversight if we become subject to a corporate integrity agreement or similar agreement to resolve allegations of non-compliance with these laws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obtained orphan drug designation in the United States for verdiperstat in MSA. We may seek orphan drug designation for other product candidates in the future.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the same indication during that time period. The applicable period is seven years in the United States and ten years in the European Union.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cannot assure you that any future application for orphan drug designation with respect to any other product candidate will be granted. If we are unable to obtain orphan drug designation with respect to other product candidates in the United States, we will not be eligible to obtain the period of market exclusivity that could result from orphan drug designation or be afforded the financial incentives associated with orphan drug designation. Even when we obtain orphan drug exclusivity for a product, that exclusivity may not effectively protect the product from competition because different drugs can be approved for the same condition. Even after an orphan drug is approved, the FDA can subsequently approve a later drug for the same condition if the FDA concludes that the later drug is clinically superior in that it is shown to be safer, more effective or makes a major contribution to patient care.</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0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Securities and Exchange Commission, which is charged with the protection of investors and the oversight of companies whose securities are publicly traded, and to new and evolving regulatory measures under applicable law, including the laws of the BVI. Our efforts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201" w:right="359" w:bottom="1440" w:gutter="0" w:footer="0" w:header="0"/>
        </w:sectPr>
      </w:pPr>
    </w:p>
    <w:bookmarkStart w:id="48" w:name="page49"/>
    <w:bookmarkEnd w:id="48"/>
    <w:p>
      <w:pPr>
        <w:ind w:right="160"/>
        <w:spacing w:after="0" w:line="282" w:lineRule="auto"/>
        <w:rPr>
          <w:sz w:val="20"/>
          <w:szCs w:val="20"/>
          <w:color w:val="auto"/>
        </w:rPr>
      </w:pPr>
      <w:r>
        <w:rPr>
          <w:rFonts w:ascii="Times New Roman" w:cs="Times New Roman" w:eastAsia="Times New Roman" w:hAnsi="Times New Roman"/>
          <w:sz w:val="18"/>
          <w:szCs w:val="18"/>
          <w:color w:val="auto"/>
        </w:rPr>
        <w:t>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changes to regulatory legislation in the British Virgin Islands could lead to increased costs for us to comply with additional regulatory and reporting requirements.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the global regulatory and tax environment evolves, we may be subject to new or different statutory and regulatory requirements. For example, on January 1, 2019, the Economic Substance (Companies and Limited Partnerships) Act, 2018 of the British Virgin Islands (the “Economic Substance Act”) came into force and was amended on 1 October 2019 and 29 June 2021 and remains subject to further amendments, additional regulations and guidance on interpretation from the regulator. It is difficult to predict what impact the Economic Substance Act and its associated regulations and guidance or changes in the interpretation of these laws or regulations could have on us. However, compliance with various additional obligations may create additional costs that may be borne by us or otherwise affect our management and operation.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earlier than expected.</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own or license patents in the U.S. and foreign countries that protect our products, their methods of use and manufacture, as well as other innovations relating to the advancement of our science to help bring new therapies to patients. We also develop brand names and trademarks for our products to differentiate them in the marketplace. We consider the overall protection of our patents, trademarks, licenses and other intellectual property rights to be of material value and act to protect these rights from infringement. We also rely on trade secrets to protect aspects of our business that are not amenable to, or that we do not consider appropriate for, patent protection. 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the proprietary position of our products and development programs.</w:t>
      </w:r>
    </w:p>
    <w:p>
      <w:pPr>
        <w:spacing w:after="0" w:line="13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the biopharmaceutical industry, a substantial portion of an innovative product’s commercial value is usually realized during the period in which the product has market exclusivity. A product’s market exclusivity is generally determined by two forms of intellectual property: patent rights held by the innovator company and any regulatory forms of exclusivity to which the innovative drug is entitled.</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Patents are a key determinant of market exclusivity for most pharmaceuticals. Patents provide the innovator with the right to exclude others from practicing an invention related to the medicine. Patents may cover, among other things, the active ingredient(s), various uses of a drug product, discovery tools, pharmaceutical formulations, drug delivery mechanisms and processes for (or intermediates useful in) the manufacture of products. Protection for individual products extends for varying periods in accordance with the expiration dates of patents in the various countries. The protection afforded, which may also vary from country to country, depends upon the type of patent, its scope of coverage and the availability of meaningful legal remedies in the country.</w:t>
      </w:r>
    </w:p>
    <w:p>
      <w:pPr>
        <w:spacing w:after="0" w:line="13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Market exclusivity can also be influenced by regulatory data protection (“RDP”). Many developed countries provide certain non-patent incentives for the development of medicines. For example, in the U.S., the EU, United Kingdom, Japan, and certain other countries, RDP intellectual property rights are offered to: (i) provide a time period of data protection during which a generic company is not allowed to rely on the innovator’s data in seeking approval;</w:t>
      </w:r>
    </w:p>
    <w:p>
      <w:pPr>
        <w:spacing w:after="0" w:line="1" w:lineRule="exact"/>
        <w:rPr>
          <w:sz w:val="20"/>
          <w:szCs w:val="20"/>
          <w:color w:val="auto"/>
        </w:rPr>
      </w:pPr>
    </w:p>
    <w:p>
      <w:pPr>
        <w:ind w:right="40" w:firstLine="8"/>
        <w:spacing w:after="0" w:line="260"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patent term lost during drug development and approval; and (iii) provide incentives for research on medicines for rare diseases, or orphan drugs, and on medicines useful in treating pediatric patients. These incentives can extend the market exclusivity period on a product beyond the patent term.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0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Exclusivity - United States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biopharmaceutical products are protected by patents with varying terms depending on the type of patent and the filing date. A significant portion of a product’s patent life, however, is lost during the time it takes an innovative company to develop and obtain regulatory approval of a new drug. As compensation, at least in part, for the lost patent term due to regulatory review periods, the innovator may, depending on a number of factors, apply to the government to restore lost patent term by extending the expiration date of one patent up to a maximum term of five years, provided that the extension cannot cause the patent to be in effect for more than 14 years from the date of drug approval. A company seeking to market an innovative pharmaceutical in the U.S. must submit a complete set of safety and efficacy data to the FDA. If the innovative pharmaceutical is a chemical product, the company files an NDA. If the medicine is a biological product, a biologics license application (“BLA”) is filed. The type of application filed affects RDP exclusivity rights.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Molecule Products</w:t>
      </w:r>
    </w:p>
    <w:p>
      <w:pPr>
        <w:spacing w:after="0" w:line="17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 competitor seeking to launch a generic substitute of small molecule drug in the U.S. must file an ANDA with the FDA. In the ANDA, the generic manufacturer needs to demonstrate only “bioequivalence” between the generic substitute and the approved NDA drug. The ANDA relies upon the safety and efficacy data previously filed by the innovator in its NDA. An innovator company is required to list certain of its patents covering the medicine with the FDA in what is commonly known as the FDA’s Orange Book. The FDA cannot approve an ANDA until after the innovator’s listed patents expire unless there is a successful patent challenge. However, after the innovator has marketed its product for four years, a generic manufacturer may file an ANDA and allege that one or more of the patents listed in the Orange Book under an innovator’s NDA is either invalid or not infringed (a Paragraph IV certification). The innovator then must decide whether to file a patent infringement suit against the generic manufacturer. From time to time, ANDAs, including Paragraph IV certifications, are filed with respect to certain of our products.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certain innovative pharmaceutical products can receive periods of regulatory exclusivity. An NDA that is designated as an orphan drug can receive seven years of exclusivity for the orphan indication. During this time period, neither NDAs nor ANDAs for the same drug product can be approved for the same orphan use. A company may also earn six months of additional exclusivity for a drug where specific clinical studies are conducted at the written request of the FDA to study the use of the medicine to treat pediatric patients, and submission to the FDA is made prior to the loss of basic exclusivity. Medicines approved under an NDA can also receive several types of RDP. An innovative chemical pharmaceutical product is entitled to five years of RDP in the U.S., during which the FDA cannot approve generic substitutes. If an innovator’s patent is challenged, as described above, a generic manufacturer may file its ANDA after the fourth year of the five-year RDP period. A pharmaceutical drug product that contains an active ingredient that has been previously approved in an NDA, but is approved in a new formulation, but not for the drug itself, or for a new indication on the basis of new clinical studies, may receive three years of RDP for that formulation or indication.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Biologic products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healthcare legislation enacted in 2010 created an approval pathway for biosimilar versions of innovative biological products that did not previously exist. Prior to that time, innovative biologics had essentially unlimited regulatory exclusivity. Under the new regulatory mechanism, the FDA can approve products that are similar to (but not generic copies of) innovative biologics on the basis of less extensive data than is required by a full BLA. After an innovator has marketed its product for four years, any manufacturer may file an application for approval of a “biosimilar” version of the innovator product. However, although an application for approval of a biosimilar version may be filed four years after approval of the innovator product, qualified innovative biological products will receive 12 years of regulatory exclusivity, meaning that the FDA may not approve a biosimilar version until 12 years after the innovative biological product was first approved by the FDA. The law also provides a mechanism for innovators to enforce the patents that protect innovative biological products and for biosimilar applicants to challenge the patents. Such patent litigation may begin as early as four years after the innovative biological product is first approved by the FDA.</w:t>
      </w:r>
    </w:p>
    <w:p>
      <w:pPr>
        <w:spacing w:after="0" w:line="13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 the U.S., the increased likelihood of generic and biosimilar challenges to innovators’ intellectual property has increased the risk of loss of innovators’ market exclusivity. First, generic companies have increasingly sought to challenge innovators’ basic patents covering major pharmaceutical products. Second, statutory and regulatory provisions in the U.S. limit the ability of an innovator company to prevent generic and biosimilar drugs from being approved and launched while patent litigation is ongoing. As a result of all of these developments, it is not possible to predict the length of market exclusivity for a particular product with certainty based solely on the expiration of the relevant patent(s) or the current forms of regulatory exclusivity.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19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typical route used by innovator companies to obtain marketing authorization of pharmaceutical products in the EU is through the “centralized procedure.” A company seeking to market an innovative pharmaceutical product through the centralized procedure must file a complete set of safety data and efficacy data as part of a Marketing Authorisation Application ("MAA") with the EMA. After the EMA evaluates the MAA, it provides a recommendation to the EC and the EC then approves or denies the MAA. It is also possible for new chemical products to obtain marketing authorization in the EU through a “mutual recognition procedure,” in which an application is made to a single member state, and if the member state approves the pharmaceutical product under a national procedure, then the applicant may submit that approval to the mutual recognition procedure of some or all other member states. After obtaining marketing authorization approval, a company must obtain pricing and reimbursement for the pharmaceutical product, which is typically subject to member state law. In certain EU countries, this process can take place simultaneously while the product is marketed but in other EU countries, this process must be completed before the company can market the new product. The pricing and reimbursement procedure can take months and sometimes years to complete. Throughout the EU, all products for which marketing authorizations have been filed after October/November 2005 are subject to an “8+2+1” regime. Eight years after the innovator has received its first community authorization for a medicinal product, a generic company may file a MAA for that product with the health authorities. If the MAA is approved, the generic company may not commercialize the product until after either 10 or 11 years have elapsed from the initial marketing authorization granted to the innovator. The possible extension to 11 years is available if the innovator, during the first eight years of the marketing authorization, obtains an additional indication that is of significant clinical benefit in comparison with existing treatments. For products that were filed prior to October/November 2005, there is a 10-year period of data protection under the centralized procedures and a period of either six or 10 years under the mutual recognition procedure (depending on the member state). In contrast to the U.S., patents in the EU are not listed with regulatory authorities. Generic versions of pharmaceutical products can be approved after data protection expires, regardless of whether the innovator holds patents covering its drug. Thus, it is possible that an innovator may be seeking to enforce its patents against a generic competitor that is already marketing its product. Also, the European patent system has an opposition procedure in which generic manufacturers may challenge the validity of patents covering innovator products within nine months of grant. In general, EU law treats chemically-synthesized drugs and biologically-derived drugs the same with respect to intellectual property and data protection. In addition to the relevant legislation and annexes related to biologic medicinal products, the EMA has issued guidelines that outline the additional information to be provided for biosimilar products, also known as generic biologics, in order to review an application for marketing approval.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Japan, medicines of new chemical entities are generally afforded eight years of data exclusivity for approved indications and dosage. Patents on pharmaceutical products are enforceable. Generic copies can receive regulatory approval after data exclusivity and patent expirations. As in the U.S., patents in Japan may be extended to compensate for the patent term lost during the regulatory review process. In general, Japanese law treats chemically-synthesized and biologically-derived drugs the same with respect to intellectual property and market exclusivity.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countries outside of the U.S., the EU and Japan, there is a wide variety of legal systems with respect to intellectual property and market exclusivity of pharmaceuticals. Most other developed countries utilize systems similar to either the U.S. or the EU. Among developing countries, some have adopted patent laws and/or regulatory exclusivity laws, while others have not. Some developing countries have formally adopted laws in order to comply with World Trade Organization (“WTO”)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97" w:right="339" w:bottom="1440" w:gutter="0" w:footer="0" w:header="0"/>
        </w:sectPr>
      </w:pPr>
    </w:p>
    <w:bookmarkStart w:id="51" w:name="page52"/>
    <w:bookmarkEnd w:id="51"/>
    <w:p>
      <w:pPr>
        <w:ind w:right="20"/>
        <w:spacing w:after="0" w:line="282" w:lineRule="auto"/>
        <w:rPr>
          <w:sz w:val="20"/>
          <w:szCs w:val="20"/>
          <w:color w:val="auto"/>
        </w:rPr>
      </w:pPr>
      <w:r>
        <w:rPr>
          <w:rFonts w:ascii="Times New Roman" w:cs="Times New Roman" w:eastAsia="Times New Roman" w:hAnsi="Times New Roman"/>
          <w:sz w:val="18"/>
          <w:szCs w:val="18"/>
          <w:color w:val="auto"/>
        </w:rPr>
        <w:t>commitments, but have not taken steps to implement these laws in a meaningful way. Enforcement of WTO actions is a long process between governments, and there is no assurance of the outcome.</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in our business. If we are unable to obtain licenses from third parties on commercially reasonable terms or lose our rights to such licensed intellectual property, or if our rights are determined to be narrower than we understand them to be, we may not be able to continue developing or commercializing our product candidates.</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are granted rights to intellectual property that are important to our business, including, for example, a license agreement with ALS Biopharma and Fox Chase Chemical Diversity Center, Inc., pursuant to which we were assigned intellectual property rights relating to troriluzole, license agreements with AstraZeneca, pursuant to which we were granted exclusive licenses relating to BHV-5500 and verdiperstat, a license agreement with Bristol-Myers Squibb, pursuant to which we were granted an exclusive license to BHV-2200, and a license agreement with KU Leuven, pursuant to which we were granted an exclusive license to develop and commercialize the TRPM3 antagonist platform. We may enter into additional license agreements in the future. Our existing license agreements impose, and we expect that future license agreements will impose on us, various development, regulatory and/or commercial diligence obligations, payment of milestones and/or royalties and other obligations. Typically, in our licenses, we have control over the filing, prosecution, maintenance and enforcement of the licensed intellectual property. However, in some cases, we may not control prosecution of the licensed intellectual property, or may not have the first right to enforce such intellectual property. In those cases, we may not be able to adequately influence patent prosecution or enforcement, or prevent inadvertent lapses of coverage due to failure to pay maintenance fees.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fail to comply with any of our obligations under a current or future license agreement, the licensor may allege that we have breached our license agreement, and may seek to terminate our license. Termination of any of our current or future licenses could result in our loss of the right to use the licensed intellectual property, which could materially adversely affect our ability to develop, manufacture or commercialize a product candidate or product, if approved, as well as harm our competitive business position and our business prospects. Under some license agreements, termination may also result in the transfer of or granting of rights under certain of our intellectual property and information related to the product candidate being developed under the license, such as regulatory information. If our licensors fail to comply with their obligations under these agreements, such as, for example, by failing to maintain or enforce patents licensed to us, exclusivity relating to the products covered by the license may be diminished or lost. Our rights under license agreements could be determined to be narrower than we understand them to be. Also, if it is found that our licensors were not the original inventors of the licensed intellectual property, or were not the first to file patent applications, then we may lose rights to the licensed intellectual property.</w:t>
      </w:r>
    </w:p>
    <w:p>
      <w:pPr>
        <w:spacing w:after="0" w:line="1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important to our business and involves complex legal, business and scientific issues. Disputes may arise between us and our licensors regarding intellectual property subject to a license agreement, including:</w:t>
      </w:r>
    </w:p>
    <w:p>
      <w:pPr>
        <w:spacing w:after="0" w:line="108" w:lineRule="exact"/>
        <w:rPr>
          <w:sz w:val="20"/>
          <w:szCs w:val="20"/>
          <w:color w:val="auto"/>
        </w:rPr>
      </w:pPr>
    </w:p>
    <w:p>
      <w:pPr>
        <w:ind w:left="660" w:right="18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including our right to sublicense patents and other rights to third parties;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manufacture or commercialize the affected product candidates.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may be necessary or desirable for us to use the patented or proprietary technology of third parties to commercialize our products, in which case we would seek to obtain a license from these third parties. If we are unable to license such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01" w:right="339" w:bottom="1440" w:gutter="0" w:footer="0" w:header="0"/>
        </w:sectPr>
      </w:pPr>
    </w:p>
    <w:bookmarkStart w:id="52" w:name="page53"/>
    <w:bookmarkEnd w:id="52"/>
    <w:p>
      <w:pPr>
        <w:ind w:right="200"/>
        <w:spacing w:after="0" w:line="261" w:lineRule="auto"/>
        <w:rPr>
          <w:sz w:val="20"/>
          <w:szCs w:val="20"/>
          <w:color w:val="auto"/>
        </w:rPr>
      </w:pPr>
      <w:r>
        <w:rPr>
          <w:rFonts w:ascii="Times New Roman" w:cs="Times New Roman" w:eastAsia="Times New Roman" w:hAnsi="Times New Roman"/>
          <w:sz w:val="18"/>
          <w:szCs w:val="18"/>
          <w:color w:val="auto"/>
        </w:rPr>
        <w:t>technology, or if we are forced to license such technology on unfavorable terms, our business could be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payment of royalties and/or other forms of compensation. Even if we are able to obtain a license, it may be non-exclusive, thereby giving our competitors access to the same technologies licensed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not provide exclusivity for our product candidates for an adequate amount of time for us to realize commercial benefits.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Patents have a limited lifespan. In the United States and most of the world, the statutory expiration of a patent is generally 20 years from the first filing date. Even if patents covering our product candidates are obtained, once the patent life has expired for a product candidate, we may be open to competition from competitive products, including generic products. Given the amount of time required for the development, testing and regulatory review of new product candidates, patents protecting such product candidates may not provide us with exclusivity for an adequate amount of time for us to realize commercial benefits.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restoration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subject to a statutory maximum of fourteen (14) years from the regulatory approval and an additional six months of pediatric exclusivity if available. Similar regulations regarding patent term extensions, or supplementary protection certificates, are available in some countries such as the European Union, United Kingdom, Japan and Korea.</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However, we may not receive a patent term restoration, a supplementary protection certificate or extension if we fail to satisfy applicable requirements. Moreover, the length of the extension could be less than we request. If we are unable to obtain a patent term restoration, a supplementary protection certificate or extension, or the term is less than we request, the period during which we can enforce our patent rights for that product will be shortened and our competitors may obtain approval to market competing products sooner. As a result, our revenue from applicable products could be reduced.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seek to invalidate our patents.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Once granted, patents may remain open to invalidity challenges including opposition, interference, re-examination, post-grant review, inter partes review, nullification or derivation actions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which are the subject of the challenge, or may lose the allowed or granted claims altogether.</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Generic manufacturers seeking to launch a generic substitute of small molecule drug in the U.S. typically engage in patent challenges. We expect that as early as four (4) years after the approval of our products, one or more generic manufactures may allege that one or more of the patents listed in the Orange Book under our NDA is either invalid or not infringed (a Paragraph IV certification). We then must decide whether to file a patent infringement suit against such generic manufacturer(s). Some claimants may have substantially greater resources than we do and may be able to sustain the costs of complex intellectual property litigation to a greater degree and for longer periods of time than we could.</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technology, such as our compositions, formulations, or methods of treatment, prevention or use, the holders of any such patents may be able to block our ability to develop and commercialize the applicable product candidate unless we obtained a license.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01" w:right="339" w:bottom="1440" w:gutter="0" w:footer="0" w:header="0"/>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If, in the context of seeking approval for one of our product candidates subject to approval via Section 505(b)(2), we were required to file a Paragraph IV certification against any patents of a third party, we would additionally be at risk of an automatic stay if litigation is initiated, thereby potentially delaying our approval or market entry. Defense of these claims, regardless of their merit, would involve substantial litigation expense and would be a substantial diversion of resources from our business.</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we may have to pay substantial damages, pay royalties, redesign our infringing products or obtain one or more licenses from third parties, which may be impossible or require substantial time and monetary expenditure.</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claims of infringement made by third parties against us, we may file claims of infringement against third parties who infringe, or misappropriate, our patents or those of our licensors. This can occur as a counter claim in an infringement suit against us or as a direct claim against the third party. Our adversaries in these proceedings may have the ability to dedicate substantially greater resources to prosecuting these legal actions than we can.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or claims challenging the scope of the intellectual property rights we own or control. The outcome following legal assertions of invalidity and unenforceability is unpredictable.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factors relating to our intellectual property</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risk factors described above, we consider the items below to be relevant for consideration in the assessment of the Company’s intellectual property position.</w:t>
      </w:r>
    </w:p>
    <w:p>
      <w:pPr>
        <w:spacing w:after="0" w:line="108" w:lineRule="exact"/>
        <w:rPr>
          <w:sz w:val="20"/>
          <w:szCs w:val="20"/>
          <w:color w:val="auto"/>
        </w:rPr>
      </w:pPr>
    </w:p>
    <w:p>
      <w:pPr>
        <w:ind w:left="660" w:right="80" w:hanging="328"/>
        <w:spacing w:after="0" w:line="255"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laws or regulations in the U.S. or other countries could negatively affect our business. Similarly, changes in the interpretation of such laws or regulations could have an impact on our business. For example, U.S. Supreme Court has ruled on several patent cases in recent years, such as Impression Products, Inc. v. Lexmark International, Inc., Association for Molecular Pathology v. Myriad Genetics, Inc.,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ability to obtain patents in the future, decisions by courts may lead to legislation impacting our ability to obtain or enforce our intellectual property.</w:t>
      </w:r>
    </w:p>
    <w:p>
      <w:pPr>
        <w:spacing w:after="0" w:line="134" w:lineRule="exact"/>
        <w:rPr>
          <w:rFonts w:ascii="Times New Roman" w:cs="Times New Roman" w:eastAsia="Times New Roman" w:hAnsi="Times New Roman"/>
          <w:sz w:val="18"/>
          <w:szCs w:val="18"/>
          <w:color w:val="auto"/>
        </w:rPr>
      </w:pPr>
    </w:p>
    <w:p>
      <w:pPr>
        <w:ind w:left="660" w:right="240" w:hanging="328"/>
        <w:spacing w:after="0" w:line="25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outside of the U.S. is dependent on the laws of jurisdiction in which the alleged infringement occurred, the ability to engage in discovery to obtain evidence and the availability of meaningful recoveries, e.g., damages and injunctions. The laws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As a result, our business may be harmed by limitations on our ability to protect our technology through the enforcement of our intellectual property in certain countries outside the U.S.</w:t>
      </w:r>
    </w:p>
    <w:p>
      <w:pPr>
        <w:spacing w:after="0" w:line="133"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may seek to exercise its rights under the Bayh-Dole Act of 1980 in programs that have received government funding. This exercise of rights could require us to grant exclusive, partially exclusive, or non-exclusive licenses to any of these inventions to a third party the U.S.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w:t>
      </w:r>
    </w:p>
    <w:p>
      <w:pPr>
        <w:spacing w:after="0" w:line="12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our competitive position. We seek to protect these trade secrets, in part, by entering into confidentiality agreements with parties who have access to them, such as our employees, third party collaborators, contract manufacturers, consultants, advisors and other third parties. An unauthorized disclosure or use of our trade secrets can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201" w:right="359" w:bottom="1440" w:gutter="0" w:footer="0" w:header="0"/>
        </w:sectPr>
      </w:pPr>
    </w:p>
    <w:bookmarkStart w:id="54" w:name="page55"/>
    <w:bookmarkEnd w:id="54"/>
    <w:p>
      <w:pPr>
        <w:ind w:left="660" w:right="280" w:hanging="328"/>
        <w:spacing w:after="0" w:line="266"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innovator companies may independently develop alternative technologies to our technologies without infringing our intellectual property rights, such as, for example, by developing compounds that function according to the same mechanism of action as our compounds, but are chemically distinct from ours and are not covered by the claims of the patents that we own or control.</w:t>
      </w:r>
    </w:p>
    <w:p>
      <w:pPr>
        <w:spacing w:after="0" w:line="12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intellectual property can be generally time consuming and expensive. Litigation or other legal proceedings relating to intellectual property claims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our valuation.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retaining our key personnel and recruiting additional qualified personnel.</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experience of our senior management. Although we have entered into employment agreements with our executive officers, each of them may terminate their employment with us at any time. We do not maintain “key person” insurance for any of our executives or employees.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competition for qualified personnel in the biopharmaceutical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harm our business.</w:t>
      </w:r>
    </w:p>
    <w:p>
      <w:pPr>
        <w:spacing w:after="0" w:line="12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153"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01" w:right="339" w:bottom="1440" w:gutter="0" w:footer="0" w:header="0"/>
        </w:sectPr>
      </w:pPr>
    </w:p>
    <w:bookmarkStart w:id="55" w:name="page56"/>
    <w:bookmarkEnd w:id="55"/>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7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Foreign sales of our products could also be adversely affected by the imposition of governmental controls, political and economic instability, trade restrictions and changes in tariffs.</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our international operations may preclude us from developing, manufacturing and selling certain product candidates and products outside of the United States and require us to develop and implement costly compliance programs.</w:t>
      </w:r>
    </w:p>
    <w:p>
      <w:pPr>
        <w:spacing w:after="0" w:line="10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will be required to dedicate additional resources to comply with numerous laws and regulations in each jurisdiction in which we plan to operate. We are subject to U.S. laws governing international business activities, including U.S. economic sanctions, export controls and anti-corruption laws, including the FCPA, compliance with which is expensive and difficult, particularly in countries in which corruption is a recognized problem. As a result, these laws may preclude us from developing, manufacturing or selling certain product candidates outside of the United States, which could limit our growth potential and increase our development costs. If our employees or agents violate our policies or we fail to maintain adequate record keeping and internal accounting practices to accurately record our transactions, we may be subject to regulatory sanctions.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Violations of U.S. economic sanctions, export controls and anti-corruption laws, or allegations of such acts, could damage our reputation and subject us to civil or criminal investigations in the United States and in other jurisdictions and related shareholder lawsuits, could lead to substantial civil and criminal, monetary and nonmonetary penalties and could cause us to incur significant legal and investigatory fees which could adversely affect our business, consolidated financial condition and results of operations.</w:t>
      </w:r>
    </w:p>
    <w:p>
      <w:pPr>
        <w:spacing w:after="0" w:line="13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our clinical development progresses, we expect to experience growth in the number of our employees and the scope of our operations, particularly in the areas of clinical operations,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the EMA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and (4) laws that require the true, complete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01" w:right="339" w:bottom="1440" w:gutter="0" w:footer="0" w:header="0"/>
        </w:sectPr>
      </w:pPr>
    </w:p>
    <w:bookmarkStart w:id="56" w:name="page57"/>
    <w:bookmarkEnd w:id="56"/>
    <w:p>
      <w:pPr>
        <w:spacing w:after="0" w:line="256" w:lineRule="auto"/>
        <w:rPr>
          <w:sz w:val="20"/>
          <w:szCs w:val="20"/>
          <w:color w:val="auto"/>
        </w:rPr>
      </w:pPr>
      <w:r>
        <w:rPr>
          <w:rFonts w:ascii="Times New Roman" w:cs="Times New Roman" w:eastAsia="Times New Roman" w:hAnsi="Times New Roman"/>
          <w:sz w:val="18"/>
          <w:szCs w:val="18"/>
          <w:color w:val="auto"/>
        </w:rPr>
        <w:t>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share price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Securities litigation against us could result in substantial costs and divert our management’s attention from other business concerns, which could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materially adversely affected in the event of computer system failures or security breaches.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third parties on which we rely, are vulnerable to damage from computer viruses, unauthorized access, cyberattacks, natural disasters, fire, terrorism, war and telecommunication and electrical failures. If such an event were to occur and interrupt our operations, it could result in a material disruption of our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individually identifiable health information or the personal data of employees or former employees, access to our clinical data or disruption of the manufacturing process, we could incur liability and the further development of our product candidates could be delayed. We may also be vulnerable to cyberattacks by hackers or other malfeasance. This type of breach of our cybersecurity may compromise our confidential information or our financial information and adversely affect our business or result in legal proceedings.</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the collection, use, disclosure, transfer, or other processing of personal data regarding individuals in the EU, including date concerning health, is subject to the EU General Data Protection Regulation, or GDPR, which became effective on May 25, 2018. The GDPR is wide-ranging in scope and imposes numerous requirements on companies that process personal data, including requirements relating to processing data concerning health and other sensitive data, obtaining consent of the individuals to whom the personal data relates to process their personal data,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turnover,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1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may not develop or be sustained, or be liquid enough for investors to resell our common shares quickly or at the market price.</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currently no public market for our common shares, and we cannot assure you that an active trading market will continue to develop or be sustained or that any trading market will be liquid. If an active market for our common shares does not develop or is not sustained, it may be difficult for our shareholders to sell shares without depressing the market price for the shares or to sell their shares at all. An inactive market may also impair our ability to raise capital to continue to fund operations by selling our common shares and may impair our ability to acquire other companies or technologies by using our common shares as consideration.</w:t>
      </w:r>
    </w:p>
    <w:p>
      <w:pPr>
        <w:spacing w:after="0" w:line="1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shares may be volatile and may fluctuate due to factors beyond our control, and purchasers of our common shares could incur substantial losses.</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share price may be volatile. The stock market in general and the market for biopharmaceutical companies in particular have experienced extreme volatility that has often been unrelated to the operating performance of particular companies. As a result of this volatility, our shareholders and investors may not be able to sell their common shares at or above the price paid for the shares. The market price for our common shares may be influenced by many factors, including:</w:t>
      </w:r>
    </w:p>
    <w:p>
      <w:pPr>
        <w:spacing w:after="0" w:line="126" w:lineRule="exact"/>
        <w:rPr>
          <w:sz w:val="20"/>
          <w:szCs w:val="20"/>
          <w:color w:val="auto"/>
        </w:rPr>
      </w:pPr>
    </w:p>
    <w:p>
      <w:pPr>
        <w:ind w:left="660" w:right="2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including preliminary or topline results, of preclinical studies and clinical trials reported by us, strategic partners or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progress or delay in the commencement, enrollment and the ultimate completion of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any of our product candidates;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announcements or changes in government regulations relating to drug products, including related to drug pricing, reimbursement and healthcare coverage;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in-licensing or acquiring additional complementary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any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inability to obtain additional funding;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arrangements with AstraZeneca;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expectations of the investment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therapeutic drug product providers related to pricing of therapeutics;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licenses, acquisitions, strategic partnerships or joint ventures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or retain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shares, including sales by our directors and officers or specific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regulatory conditions in the pharmaceutical industry or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Information Statement.</w:t>
      </w:r>
    </w:p>
    <w:p>
      <w:pPr>
        <w:sectPr>
          <w:pgSz w:w="11900" w:h="16838" w:orient="portrait"/>
          <w:cols w:equalWidth="0" w:num="1">
            <w:col w:w="11220"/>
          </w:cols>
          <w:pgMar w:left="320" w:top="11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197" w:right="359" w:bottom="1440" w:gutter="0" w:footer="0" w:header="0"/>
          <w:type w:val="continuous"/>
        </w:sectPr>
      </w:pPr>
    </w:p>
    <w:bookmarkStart w:id="58" w:name="page59"/>
    <w:bookmarkEnd w:id="58"/>
    <w:p>
      <w:pPr>
        <w:ind w:right="60"/>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securities to fluctuate substantially, regardless of our actual operating performance, which may limit or prevent investors from selling their common shares at or above the price paid for the shares and may otherwise negatively affect the liquidity of our common shares.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Defending against litigation is costly and time-consuming, and could divert our management’s attention and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As a newly public company, we may not receive any research coverage by equity research analysts. Equity research analysts may elect not to initiate or to continue to provide research coverage of our common shares, and such lack of research coverage may adversely affect the market price of our common shares. Even if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If one or more equity research analysts ceases coverage of our company or fails to publish reports on us regularly, demand for our shares could decrease, which in turn could cause our share price or trading volume to decline.</w:t>
      </w:r>
    </w:p>
    <w:p>
      <w:pPr>
        <w:spacing w:after="0" w:line="13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memorandum and articles of association (“Amended Memorandum and Articles of Association”) could make an acquisition of us, which may be beneficial to our shareholders, more difficult and may prevent attempts by our shareholders to replace or remove our current management and limit the market price of our common shares.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in our Amended Memorandum and Articles of Association may discourage, delay or prevent a merger, acquisition or other change in control of us that shareholders may consider favorable, including transactions in which you might otherwise receive a premium for your shares. These provisions also could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w:t>
      </w:r>
    </w:p>
    <w:p>
      <w:pPr>
        <w:spacing w:after="0" w:line="13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shareholders can remove directors from the board;</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shareholder proposals that can be acted on at shareholder meetings and nominations to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shareholder actions must be effected at a duly called shareholder meeting and prohibit actions by our shareholders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members to requisition and convene general meetings of members; and</w:t>
      </w:r>
    </w:p>
    <w:p>
      <w:pPr>
        <w:spacing w:after="0" w:line="171" w:lineRule="exact"/>
        <w:rPr>
          <w:rFonts w:ascii="Times New Roman" w:cs="Times New Roman" w:eastAsia="Times New Roman" w:hAnsi="Times New Roman"/>
          <w:sz w:val="18"/>
          <w:szCs w:val="18"/>
          <w:color w:val="auto"/>
        </w:rPr>
      </w:pPr>
    </w:p>
    <w:p>
      <w:pPr>
        <w:ind w:left="660" w:right="400" w:hanging="328"/>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members without shareholder approval, which could be used to institute a shareholder rights plan, or so-called “poison pill,” that would work to dilute the stock ownership of a potential hostile acquirer, effectively preventing acquisitions that have not been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320" w:top="1201" w:right="379" w:bottom="1440" w:gutter="0" w:footer="0" w:header="0"/>
        </w:sectPr>
      </w:pPr>
    </w:p>
    <w:bookmarkStart w:id="59" w:name="page60"/>
    <w:bookmarkEnd w:id="59"/>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Any provision of our Amended Memorandum and Articles of Association or BVI law that has the effect of delaying or deterring a change of control could limit the opportunity for our shareholders to receive a premium for their common shares, and could also affect the price that some investors are willing to pay for our common shares.</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total outstanding shares may be sold freely into the market. This could cause the market price of our common shares to drop significantly, even if our business is doing well.</w:t>
      </w:r>
    </w:p>
    <w:p>
      <w:pPr>
        <w:spacing w:after="0" w:line="1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Sales of substantially all of our common shares in the public market, or the perception that these sales might occur, could depress the market price of our common shares and could impair our ability to raise capital through the sale of additional equity securities. Immediately following the Distribution, substantially all of our common shares will be freely tradable, without restrictions or further registration under the Securities Act, subject to certain restrictions applicable to shares held by our affiliates as defined in Rule 144 under the Securities Act.</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on our common shares in the foreseeable future, capital appreciation, if any, would be your sole source of gain.</w:t>
      </w:r>
    </w:p>
    <w:p>
      <w:pPr>
        <w:spacing w:after="0" w:line="10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have never declared or paid any dividends on our common shares. We currently anticipate that we will retain future earnings for the development, operation and expansion of our business and do not anticipate declaring or paying any cash dividends for the foreseeable future. The decision to pay future dividends to shareholders will be at the discretion of our board of directors after taking into account various factors including our business prospects, cash requirements, financial performance and new product development. Accordingly, investors cannot rely on dividend income from our common shares and any returns on an investment in our common shares will likely depend entirely upon any future appreciation in the price of our common shares.</w:t>
      </w:r>
    </w:p>
    <w:p>
      <w:pPr>
        <w:spacing w:after="0" w:line="1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an “emerging growth company,” we are required to report only two years of financial results in certain Securities Act registration statements. We may take advantage of these exemptions until we are no longer an “emerging growth company.” We will remain an “emerging growth company” for up to five years after the effective date of the registration statement of which this information statement forms a part, although we will lose that status sooner if our revenues exceed $1.07 billion, if we issue more than $1 billion in non-convertible debt in a three-year period, or if the market value of our common shares that are held by non-affiliates exceeds $700 million as of June 30 of a fiscal year.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 than that of an otherwise comparable company that does not avail itself of the same or similar exemptions.</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shares less attractive to investors.</w:t>
      </w:r>
    </w:p>
    <w:p>
      <w:pPr>
        <w:spacing w:after="0" w:line="10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(the “Exchange Act”). For as long as we continue to be a smaller reporting company, we may take advantage of exemptions from various reporting requirements that are applicable to other public companies that are not smaller reporting companies, including reduced financial statement and other financial information disclosure, and reduced disclosure obligations regarding executive compensation in our annual and periodic reports and proxy statements. We will remain a smaller reporting company as long as either (i) the market value of our common shares held by non-affiliates is less than $250 million or (ii) our annual revenue is less than $100 million during the most recently completed fiscal year and the market value of our common shares held by non-affiliates is less than $700 million. Our public float is measured as of the last business day of our most recently completed second fiscal quarter, and annual revenues are as of the most recently completed fiscal year for which audited financial statements are available. We cannot predict if investors will find our common shares less attractive because we may rely on these exemptions. If some investors find our common shares less attractive as a result, there may be 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01" w:right="339" w:bottom="1440" w:gutter="0" w:footer="0" w:header="0"/>
        </w:sectPr>
      </w:pPr>
    </w:p>
    <w:bookmarkStart w:id="60" w:name="page61"/>
    <w:bookmarkEnd w:id="60"/>
    <w:p>
      <w:pPr>
        <w:ind w:right="320"/>
        <w:spacing w:after="0" w:line="282" w:lineRule="auto"/>
        <w:rPr>
          <w:sz w:val="20"/>
          <w:szCs w:val="20"/>
          <w:color w:val="auto"/>
        </w:rPr>
      </w:pPr>
      <w:r>
        <w:rPr>
          <w:rFonts w:ascii="Times New Roman" w:cs="Times New Roman" w:eastAsia="Times New Roman" w:hAnsi="Times New Roman"/>
          <w:sz w:val="18"/>
          <w:szCs w:val="18"/>
          <w:color w:val="auto"/>
        </w:rPr>
        <w:t>less active trading market for our common shares and our share price may be more volatile than that of an otherwise comparable company that does not avail itself of the same or similar exemptions.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BVI business company limited by shares and, the holders of our common shares may have fewer protections as a shareholder of our company, because judicial precedent regarding the rights of shareholders is more limited under BVI law than that under U.S. law.</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Memorandum and Articles of Association as amended and restated from time to time, the BVI Business Companies Act (as revised) (the “BVI Act”) and the common law of the BVI. The rights of shareholders to take legal action against our directors, actions by minority shareholders and the fiduciary responsibilities of our directors under BVI law are to a large extent governed by the common law of the BVI. The common law of the BVI is derived in part from comparatively limited judicial precedent in the BVI as well as from English common law, which has persuasive, but not binding, authority on a court in the BVI. The rights of our shareholders and the fiduciary responsibilities of our directors under BVI law therefore are not as clearly established as they would be under statutes or judicial precedents in some jurisdictions in the United States. In particular, the BVI has a less exhaustive body of securities laws as compared to the United States, and some states, such as Delaware, have more fully developed and judicially interpreted bodies of corporate law than the BVI. There is no statutory recognition in the BVI of judgments obtained in the U.S., although the courts of the BVI will in certain circumstances recognize and enforce a non-penal judgment of a foreign court of competent jurisdiction without retrial on the merits.</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result of all of the above, holders of our common shares may have more difficulty in protecting their interests through actions against our management, directors or controlling shareholders than they would as shareholders of a U.S. company. They may have greater difficulty securing legal advice about the law of the BVI than they would U.S. and state law, and the relatively less developed nature of the BVI’s securities law may leave investors with less certainty about the validity and strength of any claims they believe they may have against us. In addition, other differences between BVI and U.S. law, as well as the terms of our Amended Memorandum and Articles of Association, may result in shareholders having different potential influence than they would under various U.S. state laws with respect to matters such as officer and director actions, mergers and acquisitions, dispositions of assets, takeover efforts, and other corporate decision making.</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in BVI business companies may not be able to initiate shareholder derivative actions, thereby depriving a shareholder of the ability to protect its interests.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statutory provisions do exist in BVI law for derivative actions to be brought in certain circumstances, shareholders in BVI business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BVI business company being more limited than those of shareholders of a company organized in the United States. Accordingly, shareholders may have fewer alternatives available to them if they believe that corporate wrongdoing has occurred. The BVI courts are also unlikely to: (i) recognize or enforce against us judgments of courts in the United States based on certain civil liability provisions of U.S. securities law; or (ii) to impose liabilities against us, in original actions brought in the BVI, based on certain civil liability provisions of U.S. securities laws that are penal in nature or that relate to taxes or similar fiscal or revenue obligations or would be viewed as contrary to BVI public policy or the proceedings pursuant to which judgment was obtained were contrary to natural justice.</w:t>
      </w:r>
    </w:p>
    <w:p>
      <w:pPr>
        <w:spacing w:after="0" w:line="1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is no statutory recognition in the BVI of judgments obtained in the United States. However, the courts of the BVI will in certain circumstances recognize such a foreign judgment and treat it as a cause of action in itself which may be sued upon as a debt at common law so that no retrial of the issues would be necessary provided that:</w:t>
      </w:r>
    </w:p>
    <w:p>
      <w:pPr>
        <w:spacing w:after="0" w:line="122" w:lineRule="exact"/>
        <w:rPr>
          <w:sz w:val="20"/>
          <w:szCs w:val="20"/>
          <w:color w:val="auto"/>
        </w:rPr>
      </w:pPr>
    </w:p>
    <w:p>
      <w:pPr>
        <w:ind w:left="660" w:right="4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issuing the judgment had jurisdiction in the matter and the company either submitted to such jurisdiction or was resident or carrying on business within such jurisdiction and was duly served with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for a liquidated sum;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given by the U.S. court was not in respect of penalties, taxes, fines or similar fiscal or revenue obligations of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judgment there was no fraud on the part of the person in whose favor judgment was given or on the part of the court;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or enforcement of the judgment in the British Virgin Islands would not be contrary to public policy;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01" w:right="339" w:bottom="1440" w:gutter="0" w:footer="0" w:header="0"/>
        </w:sectPr>
      </w:pPr>
    </w:p>
    <w:bookmarkStart w:id="61" w:name="page62"/>
    <w:bookmarkEnd w:id="61"/>
    <w:p>
      <w:pPr>
        <w:ind w:left="340" w:right="3780" w:hanging="8"/>
        <w:spacing w:after="0" w:line="438" w:lineRule="auto"/>
        <w:tabs>
          <w:tab w:leader="none" w:pos="6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pursuant to which judgment was obtained were not contrary to natural justice. The British Virgin Islands courts are unlikely:</w:t>
      </w:r>
    </w:p>
    <w:p>
      <w:pPr>
        <w:ind w:left="660" w:right="10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the Company, judgments of courts of the U.S. predicated upon the civil liability provisions of the securities law of the U.S.; and</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liabilities against the Company, predicated upon the certain civil liability provisions of the securities laws of the U.S. so far as the liabilities imposed by those provisions are penal in nature.</w:t>
      </w:r>
    </w:p>
    <w:p>
      <w:pPr>
        <w:spacing w:after="0" w:line="10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the BVI relating to the protection of minority shareholders differ from those under U.S. law and, in some circumstances, may offer less protection.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BVI Act includes the following statutory remedies which minority shareholders in the company can rely upon:</w:t>
      </w:r>
    </w:p>
    <w:p>
      <w:pPr>
        <w:spacing w:after="0" w:line="171" w:lineRule="exact"/>
        <w:rPr>
          <w:sz w:val="20"/>
          <w:szCs w:val="20"/>
          <w:color w:val="auto"/>
        </w:rPr>
      </w:pPr>
    </w:p>
    <w:p>
      <w:pPr>
        <w:ind w:left="660" w:right="12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 director of the company engages in or proposes to engage in conduct, that contravenes the BVI Act or our Amended Memorandum and Articles of Association, a shareholder may apply to the BVI court for an order directing the company or its director(s) to comply with or restraining the company or a director from engaging in conduct that contravenes the BVI Act or our Amended Memorandum and Articles of Association.</w:t>
      </w:r>
    </w:p>
    <w:p>
      <w:pPr>
        <w:spacing w:after="0" w:line="12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BVI Act, minority shareholders have a statutory right to bring a derivative action in the name of and on behalf of the company in circumstances where the company has a cause of action against its directors. This remedy is available at the discretion of the BVI court which will take a number of factors into account before granting or refusing a leave to proceed to the relevant shareholder, including whether such action is in the interests of the company, the cost of such action and whether there are alternative remedies that the shareholder concerned may rely upon.</w:t>
      </w:r>
    </w:p>
    <w:p>
      <w:pPr>
        <w:spacing w:after="0" w:line="12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the company may bring an action against the company for breach of duty owed to him or her as a shareholder. This would typically be relevant in a situation where a shareholder is aggrieved by the company for breach of an entitlement or right under the company’s Amended Memorandum and Articles of Association.</w:t>
      </w:r>
    </w:p>
    <w:p>
      <w:pPr>
        <w:spacing w:after="0" w:line="12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the company who considers that the affairs of the company have been, are being or likely to be, conducted in a manner that is, or any act or acts of the company have been, or are, likely to be oppressive, unfairly discriminatory, or unfairly prejudicial to him in that capacity, may apply to the BVI court for an order to remedy the situation. Again, this is a discretionary remedy and the BVI court will only award it if they are satisfied that it is just and equitable to do so.</w:t>
      </w:r>
    </w:p>
    <w:p>
      <w:pPr>
        <w:spacing w:after="0" w:line="1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in certain circumstances, apply for liquidators to be appointed over the affairs of a company under the BVI’s Insolvency Act 2003 (as amended) (the “BVI Insolvency Act”.). Shareholders can also by resolution appoint a liquidator of a BVI business company under the BVI Act if the company is solvent or under the BVI Insolvency Act if the company is insolvent.</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statutory rights outlined above, there are common law rights for the protection of shareholders that may be invoked, largely dependent on English common law. Under the general rule pursuant to English common law known as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 As such, if those who control the company have persistently disregarded the requirements of company law or the provisions of the company’s Amended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the shareholders, which are more limited than the rights afforded minority shareholders under the laws of many states in the United States.</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Having regard to the above, the protection available to minority shareholders under BVI law may be more limited than under the laws of some jurisdictions in the United States.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201" w:right="359" w:bottom="1440" w:gutter="0" w:footer="0" w:header="0"/>
        </w:sectPr>
      </w:pPr>
    </w:p>
    <w:bookmarkStart w:id="62" w:name="page63"/>
    <w:bookmarkEnd w:id="6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or foreign judgment against us, our directors and our officers outside the United States, or to assert U.S. securities laws claims outside of the United States.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BVI business company, it may be difficult for a shareholder to effect service of process within the United States upon us, our directors and officers, or to enforce against us, or them, judgments obtained in U.S. courts, including judgments predicated upon the civil liability provisions of the securities laws of the United States or any state therein.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determinations by tax authorities or changes in our effective tax rates may adversely affect our business and financial results.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current law, we expect to be treated as a non-U.S. corporation for U.S. federal income tax purposes. The tax laws applicable to our business activities, however, are subject to change and uncertain interpretation. Our tax position could be adversely impacted by changes in tax rates, tax laws, tax practice, tax treaties or tax regulations or changes in the interpretation thereof by the tax authorities in jurisdictions in which we do business. Our actual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our ability to use net operating loss carryforwards to offset future taxable income and any adjustments to the amount of the net operating loss carryforwards we can utilize; and (5) changes in tax laws or the interpretation of such tax laws, and changes in generally accepted accounting principles. We may also become subject to income, withholding or other taxes in jurisdictions by reason of our activities and operations, and it is possible that taxing authorities in such jurisdictions could assert that we are subject to greater taxation than we currently anticipate. Since 2017, the G20/OECD Inclusive Framework has been working on addressing the tax challenges arising from the digitalization of the economy and has proposed a two-pillar tax approach with pillar one referring to the re-allocation of taxing rights, addressing issues such as where tax should be paid and on what basis (i.e., where sustained and significant business is conducted, regardless of a physical presence), and pillar two ensuring a minimum tax to be paid by multinational enterprises. We are unable to predict when and how the Inclusive Framework agreement will be enacted into law in the countries in which we operate, and it is possible that the implementation of the Inclusive Framework agreement, including the global minimum corporate tax rate, could have a material effect on our liability for corporate taxes and our consolidated effective tax rate.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a passive foreign investment company there could be adverse U.S. federal income tax consequences to U.S. holders.</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we were a passive foreign investment company (“PFIC”) for any taxable year during which a U.S. holder holds our shares, the U.S. holder would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Code, we would be a PFIC for any taxable year in which (1) 75% or more of our gross income consisted of passive income or (2) 50% or more of the average quarterly value of our assets consisted of assets that produce, or are held for the production of, passive income. For purposes of these tests, passive income includes, but is not limited to, dividends, interest, gains from the sale or exchange of investment property and certain rents and royalties. In addition, for purposes of the above calculations and subject to certain exceptions,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believe our common shares should not currently be stock of a PFIC for U.S. federal income tax purposes and do not expect to become a PFIC in the foreseeable future, we cannot provide any assurances regarding our PFIC status for any current or future taxable years. The determination of whether we are a PFIC is a fact-intensive determination made on an annual basis applying principles and methodologies which in some circumstances are unclear and subject to varying interpretation. In particular, the determination of whether we are a PFIC and the characterization of our assets as active or passive may depend in part on (i) our current and intended future business plans which are subject to change, (ii)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197" w:right="359" w:bottom="1440" w:gutter="0" w:footer="0" w:header="0"/>
        </w:sectPr>
      </w:pPr>
    </w:p>
    <w:bookmarkStart w:id="63" w:name="page64"/>
    <w:bookmarkEnd w:id="63"/>
    <w:p>
      <w:pPr>
        <w:ind w:right="80"/>
        <w:spacing w:after="0" w:line="253" w:lineRule="auto"/>
        <w:rPr>
          <w:sz w:val="20"/>
          <w:szCs w:val="20"/>
          <w:color w:val="auto"/>
        </w:rPr>
      </w:pPr>
      <w:r>
        <w:rPr>
          <w:rFonts w:ascii="Times New Roman" w:cs="Times New Roman" w:eastAsia="Times New Roman" w:hAnsi="Times New Roman"/>
          <w:sz w:val="18"/>
          <w:szCs w:val="18"/>
          <w:color w:val="auto"/>
        </w:rPr>
        <w:t>application of certain “look-through” rules and (iii) the applicability of the “start-up exception.” Under the start-up exception, a foreign corporation that would otherwise be treated as a PFIC will not be a PFIC for the first taxable year the corporation has gross income (the “start-up year”), if: (A) no predecessor of the corporation was a PFIC; (B) the corporation satisfies the IRS that it will not be a PFIC for either of the first two taxable years following the start-up year; and (C) the corporation is not in fact a PFIC for either of those years. The applicability of the startup exception to us is uncertain and will not be known until after the end of the two taxable years following such startup year. In addition, for our current and future taxable years, the total value of our assets for PFIC testing purposes may fluctuate considerably from time to time, and is dependent on our application (which inherently involves an element of judgment) of the relevant valuation assumptions and methodologies. Under the income test, our status as a PFIC depends on the composition of our income which, in our current and future taxable years, we may not be able to fully control, for example, with respect to income attributed to us from entities owned 25% or more by us. The composition of our income and assets is also affected by how, and how quickly, we spend the cash we raise in any offering. Therefore, we cannot provide any assurance regarding our PFIC status for any past, current or future taxable years.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certain circumstances, a U.S. holder of shares in a PFIC may alleviate some of the adverse tax consequences described above by making a “qualified electing fund” (“QEF”) election to include in income its pro rata share of the corporation’s income on a current basis. However, a U.S. holder may make a QEF election with respect to our common shares only if we agree to furnish such U.S. holder annually with a PFIC annual information statement as specified in the applicable U.S. Treasury Regulations. We currently do not intend to prepare or provide the information that would enable U.S. holders to make a QEF election if we are treated as a PFIC for any taxable year, and U.S. holders of our common shares should assume that a QEF election will not be available.</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Please see “The Separation and Distribution—Certain U.S. Federal Income Tax Consequences” for further information. U.S. holders should consult their own tax advisors with respect to the operation of the PFIC rules and related reporting requirements in light of their particular circumstances, including the advisability of making any election that may be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Handling of mail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BVI) will bear any responsibility for any delay howsoever caused in mail reaching the forwarding address. Such risk will be borne solely by the Company’s shareholders.</w:t>
      </w:r>
    </w:p>
    <w:p>
      <w:pPr>
        <w:spacing w:after="0" w:line="12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Memorandum and Articles of Association will provide that unless we consent in writing to the selection of an alternative forum, the courts of the British Virgin Islands will, with certain limited exceptions, be the sole and exclusive forum for certain disputes between us and our shareholders, which could limit our shareholders’ ability to obtain a favorable judicial forum for disputes with us or our directors, officers or employees.</w:t>
      </w:r>
    </w:p>
    <w:p>
      <w:pPr>
        <w:spacing w:after="0" w:line="12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Amended Memorandum and Articles of Association will provide that unless we consent in writing to the selection of an alternative forum, the courts of the British Virgin Islands shall be the sole and exclusive forum for (i) any derivative action or proceeding brought on behalf of the Company, (ii) any action asserting a claim of breach of a fiduciary duty owed by any director, officer or other employee of the Company to the Company or the Company’s members, (iii) any action asserting a claim arising pursuant to any provision of British Virgin Islands law or the Amended Memorandum and Articles of Association, or (iv) any action asserting a claim against the Company governed by the internal affairs doctrine, and that each shareholder consents to the exclusive jurisdiction of the courts of the British Virgin Islands over all such claims or disputes. Section 22 of the Securities Act creates concurrent jurisdiction for federal and state courts over actions brought under the Securities Act or the rules and regulations promulgated thereunder. Furthermore, Section 27 of the Exchange Act creates exclusive federal jurisdiction over all suits brought to enforce any duty or liability created by the Exchange Act or the rules and regulations thereunder. As a result, the forum selection provision in our Amended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impose additional litigation costs and limit the shareholder’s ability to bring a claim in a judicial forum that it finds favorable for disputes with us or our directors, officers or other employees, which may discourage lawsuits against us and our directors, officers and other employees, although our shareholders will not be deemed to have waived our compliance with federal securities laws and the rules and regulations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01" w:right="339" w:bottom="1440" w:gutter="0" w:footer="0" w:header="0"/>
        </w:sectPr>
      </w:pPr>
    </w:p>
    <w:bookmarkStart w:id="64" w:name="page65"/>
    <w:bookmarkEnd w:id="64"/>
    <w:p>
      <w:pPr>
        <w:ind w:right="60"/>
        <w:spacing w:after="0" w:line="256" w:lineRule="auto"/>
        <w:rPr>
          <w:sz w:val="20"/>
          <w:szCs w:val="20"/>
          <w:color w:val="auto"/>
        </w:rPr>
      </w:pPr>
      <w:r>
        <w:rPr>
          <w:rFonts w:ascii="Times New Roman" w:cs="Times New Roman" w:eastAsia="Times New Roman" w:hAnsi="Times New Roman"/>
          <w:sz w:val="18"/>
          <w:szCs w:val="18"/>
          <w:color w:val="auto"/>
        </w:rPr>
        <w:t>thereunder and may therefore bring certain claims in another appropriate forum. Any person or entity purchasing or otherwise acquiring any of our shares or other securities, whether by transfer, sale, operation of law or otherwise, shall be deemed to have notice of and have irrevocably agreed and consented to these provisions. It is possible that a court could find such a choice of forum provision to be inapplicable or unenforceable, and if a court were to find this provision in our Amended Memorandum and Articles of Association to be inapplicable or unenforceable in an action, we may incur additional costs associated with resolving the dispute in other jurisdictions, which could have an adverse effect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Distribution</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has not been any public market for our common shares, the market price and trading volume of our common shares may be volatile and you may not be able to resell your shares at or above the initial market price of our common shares following the Distribution.</w:t>
      </w:r>
    </w:p>
    <w:p>
      <w:pPr>
        <w:spacing w:after="0" w:line="10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Prior to the Distribution, there will have been no regular-way trading market for our common shares. We cannot predict the extent to which investors’ interest will lead to a liquid trading market or whether the market price of our common shares will be volatile. The market price of our common shares could fluctuate significantly for many reasons, including in response to the risk factors listed in this Information Statement or for reasons unrelated to our specific performance, such as reports by industry analysts, investor perceptions, or negative developments for our customers, competitors or suppliers, as well as general economic and industry conditions.</w:t>
      </w:r>
    </w:p>
    <w:p>
      <w:pPr>
        <w:spacing w:after="0" w:line="1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RemainCo intends to take the position that the Distribution will be taxable and holders of RemainCo common shares will recognize taxable income, and the resulting tax liability to holders of RemainCo common shares may exceed the amount of cash received in the Distribution.</w:t>
      </w:r>
    </w:p>
    <w:p>
      <w:pPr>
        <w:spacing w:after="0" w:line="10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For U.S. federal income tax purposes, RemainCo intends to treat the Spin-Off as a distribution with respect to RemainCo’s common shares, and a U.S. holder of RemainCo common shares will be treated as receiving a taxable distribution in an amount equal to the fair market value of any SpinCo common shares plus the U.S. dollar value of cash in lieu of fractional shares received pursuant to the Spin-Off. Accordingly, the income recognized by a U.S. holder on the Spin-Off could result in a tax liability in excess of any cash received in the Spin-Off, depending on the U.S. holder’s individual circumstances. For more information, see the discussion above under “The Separation and Distribution—Certain U.S. Federal Income Tax Consequences.”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RemainCo were a passive foreign investment company there could be adverse U.S. federal income tax consequences to U.S. holders.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RemainCo were a PFIC for any taxable year during which a U.S. holder holds RemainCo shares, the U.S. holder would be subject to adverse tax consequences regardless of whether RemainCo continues to qualify as a PFIC, including ineligibility for any preferred tax rates on capital gains or on actual or deemed dividends, interest charges on certain taxes treated as deferred, and additional reporting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Code, RemainCo would be a PFIC for any taxable year in which (1) 75% or more of RemainCo’s gross income consisted of passive income or</w:t>
      </w:r>
    </w:p>
    <w:p>
      <w:pPr>
        <w:spacing w:after="0" w:line="27" w:lineRule="exact"/>
        <w:rPr>
          <w:sz w:val="20"/>
          <w:szCs w:val="20"/>
          <w:color w:val="auto"/>
        </w:rPr>
      </w:pPr>
    </w:p>
    <w:p>
      <w:pPr>
        <w:ind w:firstLine="8"/>
        <w:spacing w:after="0" w:line="253"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quarterly value of RemainCo’s assets consisted of assets that produce, or are held for the production of, passive income. For purposes of these tests, passive income includes, but is not limited to, dividends, interest, gains from the sale or exchange of investment property and certain rents and royalties. In addition, for purposes of the above calculations and subject to certain exceptions,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RemainCo does not believe RemainCo will be a PFIC for its taxable year that includes the Distribution or for any prior taxable year, RemainCo cannot provide any assurances regarding its PFIC status for any past, current or future taxable years. The determination of whether RemainCo is a PFIC is a fact-intensive determination made on an annual basis applying principles and methodologies which in some circumstances are unclear and subject to varying interpretation. In particular, the characterization of RemainCo’s assets as active or passive may depend in part on its current and intended future business plans which are subject to change. In addition, for RemainCo’s current and prior taxable years, the total value of its assets for PFIC testing purposes may fluctuate considerably from time to time, and is dependent on the application (which inherently involves an element of judgment) of the relevant valuation assumptions and methodologies. Under the income test, RemainCo’s status as a PFIC depends on the composition of RemainCo’s income which, in RemainCo’s past, current and future taxable years, RemainCo may not be able to fully control, for example, with respect to income attributed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01" w:right="339" w:bottom="1440" w:gutter="0" w:footer="0" w:header="0"/>
        </w:sectPr>
      </w:pPr>
    </w:p>
    <w:bookmarkStart w:id="65" w:name="page66"/>
    <w:bookmarkEnd w:id="65"/>
    <w:p>
      <w:pPr>
        <w:ind w:right="360"/>
        <w:spacing w:after="0" w:line="282" w:lineRule="auto"/>
        <w:rPr>
          <w:sz w:val="20"/>
          <w:szCs w:val="20"/>
          <w:color w:val="auto"/>
        </w:rPr>
      </w:pPr>
      <w:r>
        <w:rPr>
          <w:rFonts w:ascii="Times New Roman" w:cs="Times New Roman" w:eastAsia="Times New Roman" w:hAnsi="Times New Roman"/>
          <w:sz w:val="18"/>
          <w:szCs w:val="18"/>
          <w:color w:val="auto"/>
        </w:rPr>
        <w:t>RemainCo from entities owned 25% or more by RemainCo. Therefore, RemainCo cannot provide any assurance regarding its PFIC status for any past, current or future taxable years.</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certain circumstances, a U.S. holder of shares in a PFIC may alleviate some of the adverse tax consequences described above by making a “qualified electing fund” (“QEF”) election to include in income its pro rata share of the corporation’s income on a current basis. However, a U.S. holder may make a qualified electing fund election with respect to RemainCo common shares only if RemainCo agrees to furnish such U.S. holder annually with a PFIC annual information statement as specified in the applicable U.S. Treasury Regulations. RemainCo currently does not intend to prepare or provide the information that would enable U.S. holders to make a QEF election if RemainCo is treated as a PFIC for any taxable year, and U.S. holders of RemainCo common shares should assume that a QEF election will not be available.</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Please see “The Separation and Distribution—Certain U.S. Federal Income Tax Consequences” for further information. U.S. holders should consult their own tax advisors with respect to the operation of the PFIC rules and related reporting requirements in light of their particular circumstances, including the advisability of making any election that may be available.</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financial results as a part of RemainCo and our unaudited pro forma combined financial statements may not be representative of our results as a separate, stand-alone company.</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historical financial information we have included in this information statement has been derived from the consolidated financial statements and accounting records of RemainCo and does not necessarily reflect what our financial position, results of operations or cash flows would have been had we been a separate, stand-alone company during the periods presented. The historical costs and expenses reflected in our combined financial statements include an allocation for certain corporate functions historically provided by RemainCo, including general corporate expenses and employee benefits and incentives. These allocations were based on what we and RemainCo considered to be reasonable reflections of the historical utilization levels of these services required in support of our business. The historical information does not necessarily indicate what our results of operations, financial position, cash flows or costs and expenses will be in the future. Our pro forma financial information set forth under “Unaudited Pro Forma Combined Financial Information” reflects changes to our operations as a result of the separation. However, there can be no assurances that this unaudited pro forma combined financial information will appropriately reflect our costs as a publicly traded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material costs and expenses as a result of our separation from RemainCo.</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incur costs and expenses greater than those we currently incur as a result of our separation from RemainCo. These increased costs and expenses will arise from various factors, including financial reporting and costs associated with complying with federal securities laws (including compliance with the Sarbanes-Oxley Act). In addition, we will have increased corporate and administrative costs and expenses to those we incurred while part of RemainCo, even though SpinCo will be a smaller, stand-alone company following the Distribution. These costs may be material to our business.</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following the Distribution, we are unable to satisfy the requirements of Section 404 of the Sarbanes-Oxley Act, or our internal control over financial reporting is not effective, the reliability of our financial statements may be questioned and our stock price may suffer.</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any company subject to the reporting requirements of the U.S. securities laws to do a comprehensive evaluation of its and its consolidated subsidiaries’ internal control over financial reporting. To comply with this statute, we may eventually be required to document and test our internal control procedures, our management will be required to assess and issue a report concerning our internal control over financial reporting, and our independent auditors will be required to issue an opinion on the Company’s internal controls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 confidence in our financial results may weaken, and our stock price may suffer.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01"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SEPARATION AND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or prior to the Distribution time, RemainCo will separate the businesses described in this information statement and transfer them to SpinCo through a series of transactions which will generally result in (a) SpinCo directly or indirectly owning, assuming or retaining certain assets and liabilities of RemainCo and its subsidiaries related to RemainCo’s pipeline assets and businesses and (b) RemainCo directly or indirectly owning, assuming or retaining all other assets and liabilities, including those associated with the CGRP Business. We refer to the transfer of such businesses and assets as the “Separation.” RemainCo will distribute all of our issued and outstanding common shares to the holders of RemainCo common shares. We refer to this distribution of securities as the “Distribution.” In the Distribution, each holder of RemainCo common shares will receive a distribution of one of our common shares for every two RemainCo common shares held as of the close of business, New York City time, on September 26, 2022, which will be the record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Effecting the Distribution</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general terms and conditions relating to the Distribution are set forth in the Distribution Agreement between us and RemainCo. Under the Distribution Agreement, the Distribution will be effective following the satisfaction or waiver of closing conditions set forth in the Distribution Agreement and the Merger Agreement. For most RemainCo shareholders who own RemainCo common shares in registered form on the record date, our transfer agent will credit SpinCo common shares to book entry accounts established in their names to hold these shares. Our distribution agent will send these shareholders a statement reflecting their ownership of our common shares. Book entry refers to a method of recording share ownership in our records in which no physical certificates are used. For shareholders who own RemainCo common shares through a broker or other nominee, their SpinCo common shares will be credited to these shareholders’ accounts by the broker or other nominee. As further discussed below, fractional shares will not be distributed. Following the Distribution, shareholders whose shares are held in book entry form and are not affiliates of the Company may request that their SpinCo common shares be transferred to a brokerage or other account at any time, as well as delivery of any physical share certificates for their shares, in each case without charge.</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REMAINCO SHAREHOLDERS WILL NOT BE REQUIRED TO PAY FOR OUR COMMON SHARES RECEIVED IN THE DISTRIBUTION, OR TO SURRENDER OR EXCHANGE REMAINCO COMMON SHARES IN ORDER TO RECEIVE OUR COMMON SHARES, OR TO TAKE ANY OTHER ACTION IN CONNECTION WITH THE DISTRIBUTION. NO VOTE OF REMAINCO SHAREHOLDERS IS REQUIRED OR SOUGHT IN CONNECTION WITH THE DISTRIBUTION, AND REMAINCO SHAREHOLDERS HAVE NO APPRAISAL RIGHTS IN CONNECTION WITH THE DISTRIBUTION.</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 fractional common shares of SpinCo will be issued to RemainCo shareholders as part of the Distribution or credited to book entry accounts. In lieu of receiving fractional shares, each holder of RemainCo common shares who would otherwise be entitled to receive a fractional Company common share will receive cash for the fractional interest, which generally will be taxable to such holder. An explanation of the tax consequences of the Distribution can be found below in the subsection captioned “—Certain U.S. Federal Income Tax Consequences.” The distribution agent will, as soon as practicable after the Distribution date, aggregate all fractional SpinCo common shares into whole SpinCo common shares and sell them in the open market at then-prevailing market prices and distribute the aggregate proceeds, net of brokerage fees and after deducting any taxes required to be withheld therefrom, ratably to RemainCo shareholders otherwise entitled to fractional interests in our common shares. The amount of such payments will depend on the prices at which the aggregated fractional shares are sold by the distribution agent in the open market shortly after the Distribution date.</w:t>
      </w:r>
    </w:p>
    <w:p>
      <w:pPr>
        <w:spacing w:after="0" w:line="1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“Executive Compensation—Treatment of Outstanding Awards,” for a discussion of how outstanding RemainCo equity awards, will be affected by the Distribution.</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order to be entitled to receive our common shares in the Distribution, RemainCo shareholders must be shareholders of record of RemainCo common shares at the close of business, New York City time, on the record date, September 26, 2022. Beginning on September 23, 2022, and continuing until the occurrence of the Distribution and the Distribution date, RemainCo common shares will trade with an entitlement to the Distribution under the symbol “BHVN.”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25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Reasons for the Distribution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RemainCo’s board of directors has determined that separation of our businesses from RemainCo’s other business is in the best interests of RemainCo and its shareholders. The potential benefits considered by RemainCo’s board of directors in making the determination to consummate the Distribution included the following:</w:t>
      </w:r>
    </w:p>
    <w:p>
      <w:pPr>
        <w:spacing w:after="0" w:line="12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of RemainCo’s non-CGRP assets was proposed by Pfizer as a condition to the Merger;</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assessment that the assets and royalty payment right to be transferred to SpinCo in the Spin-Off are valuable and that the Distribution provides the most attractive option for these assets, including with respect to the potential commercialization and future profitability of SpinCo’s product candidates;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shareholders of RemainCo would receive common shares of SpinCo in addition to the consideration being paid in the Merger, allowing shareholders of RemainCo to continue to recognize value from RemainCo’s non-CGRP pipeline assets, and the additional value of the SpinCo shares to the overall consideration being paid in the Merger;</w:t>
      </w:r>
    </w:p>
    <w:p>
      <w:pPr>
        <w:spacing w:after="0" w:line="121"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payment structure included in Pfizer’s offer, pursuant to which RemainCo will be required to make certain tiered royalty payments at percentage rates in the low-tens to mid-teens to SpinCo in respect of aggregate annual net sales of rimegepant and zavegepant in the United States in excess of $5.25 billion, subject to an annual cap on royalties of $400 million per year (which cap will be reached if the aggregate annual net sales of rimegepant and zavegepant in the United States amount to $8.15 billion), for all years ended on or prior to December 31, 2040, thereby allowing RemainCo shareholders to indirectly continue to receive value from net sales of rimegepant and zavegepant to the extent they remain shareholders of SpinCo and royalty payments are made and increase the value of SpinCo shares; and</w:t>
      </w:r>
    </w:p>
    <w:p>
      <w:pPr>
        <w:spacing w:after="0" w:line="133"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RemainCo’s board of directors considered the overall value of the Merger and the Spin-Off in the context of current market activity, RemainCo’s historic performance in the commercialization of its CGRP products and changes in general economic and political conditions and timing for RemainCo to explore a potential strategic transaction, including in light of recent trends toward industry consolidation and the impact of market volatility on RemainCo. The board of directors concluded that it was an opportune time for RemainCo to consider a sale of RemainCo and a spin-off of SpinCo in light of these factors.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RemainCo’s board of directors also considered certain aspects of the Distribution that may be adverse to SpinCo. SpinCo’s common shares may come under selling pressure as certain RemainCo shareholders sell their SpinCo shares because they are not interested in holding an investment in SpinCo’s businesses. Moreover, certain factors such as the small size and expected market value of SpinCo may limit investors’ ability to appropriately value SpinCo’s common shares. Because SpinCo will no longer be part of RemainCo, the Distribution also will eliminate the ability of SpinCo to pursue cross-company business initiatives with the businesses that will be owned by RemainCo. In addition, after the Distribution, SpinCo will not own any rights to the CGRP platform, including those assets and liabilities associated with RemainCo’s platform for the research, development, manufacture and commercialization of CGRP receptor antagonists, including rimegepant, zavegepant and the Heptares Therapeutics Limited preclinical CGRP portfolio and related assets. Finally, as a result of the Distribution, the Company will bear incremental costs associated with the Spin-Off and being a publicly held company.</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RemainCo’s board of directors also considered other terms of the Distribution Agreement, which are more fully described below under “—The Distribution Agreement”:</w:t>
      </w:r>
    </w:p>
    <w:p>
      <w:pPr>
        <w:spacing w:after="0" w:line="108" w:lineRule="exact"/>
        <w:rPr>
          <w:sz w:val="20"/>
          <w:szCs w:val="20"/>
          <w:color w:val="auto"/>
        </w:rPr>
      </w:pPr>
    </w:p>
    <w:p>
      <w:pPr>
        <w:ind w:left="660" w:right="500" w:hanging="328"/>
        <w:spacing w:after="0" w:line="282" w:lineRule="auto"/>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certain assets and liabilities of RemainCo and its subsidiaries related to RemainCo’s non-CGRP pipeline assets to SpinCo, including the “Biohaven” name and marks;</w:t>
      </w:r>
    </w:p>
    <w:p>
      <w:pPr>
        <w:spacing w:after="0" w:line="107"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of (i) each outstanding option to purchase RemainCo common shares (which we refer to as “Pre-Spin RemainCo Options”), such that each Pre-Spin RemainCo Option is an option to acquire SpinCo common shares (which we refer to as a “SpinCo Option”) and an option to acquire RemainCo common shares (which we refer to as a “Post-Spin Company Option”), and (ii) each outstanding RemainCo Restricted Stock Unit (which we refer to as a “Pre-Spin Company RSU”), such that each Pre-Spin Company RSU is a restricted stock unit in respect of SpinCo common shares (which we refer to as a “SpinCo RSU”) and a restricted stock unit in respect of RemainCo common shares (which we refer to as a “Post-Spin RemainCo RSU”), in each case as described below in “Executive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197" w:right="359" w:bottom="1440" w:gutter="0" w:footer="0" w:header="0"/>
        </w:sectPr>
      </w:pPr>
    </w:p>
    <w:bookmarkStart w:id="68" w:name="page69"/>
    <w:bookmarkEnd w:id="68"/>
    <w:p>
      <w:pPr>
        <w:ind w:left="660" w:right="80"/>
        <w:spacing w:after="0" w:line="282" w:lineRule="auto"/>
        <w:rPr>
          <w:sz w:val="20"/>
          <w:szCs w:val="20"/>
          <w:color w:val="auto"/>
        </w:rPr>
      </w:pPr>
      <w:r>
        <w:rPr>
          <w:rFonts w:ascii="Times New Roman" w:cs="Times New Roman" w:eastAsia="Times New Roman" w:hAnsi="Times New Roman"/>
          <w:sz w:val="18"/>
          <w:szCs w:val="18"/>
          <w:color w:val="auto"/>
        </w:rPr>
        <w:t>Compensation-Executive Compensation Following the Distribution-Treatment of Outstanding Awards” except as otherwise expressly provided in the Merger Agreement.</w:t>
      </w:r>
    </w:p>
    <w:p>
      <w:pPr>
        <w:spacing w:after="0" w:line="108" w:lineRule="exact"/>
        <w:rPr>
          <w:sz w:val="20"/>
          <w:szCs w:val="20"/>
          <w:color w:val="auto"/>
        </w:rPr>
      </w:pPr>
    </w:p>
    <w:p>
      <w:pPr>
        <w:ind w:left="660" w:right="20" w:hanging="328"/>
        <w:spacing w:after="0" w:line="261"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the Spin-Off, including that the Spin-Off is intended to be a taxable distribution to RemainCo shareholders and that RemainCo and SpinCo generally will not provide a tax indemnity to each other with the exception of certain taxes for which SpinCo will indemnify RemainCo, including any taxes arising in respect of the Separation, any taxes arising in respect of the Distribution, deferred payroll taxes and transfer taxes;</w:t>
      </w:r>
    </w:p>
    <w:p>
      <w:pPr>
        <w:spacing w:after="0" w:line="12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prior to the effective time of the Distribution, Pfizer or an affiliate thereof would advance to RemainCo an amount equal to the remainder of $275 million minus the sum of the amount of marketable securities and cash and cash equivalents contained in any accounts held by SpinCo as of the close of business on the day prior to the effective time of the Distribution, subject to certain adjustments, and RemainCo will contribute such funding to SpinCo; and</w:t>
      </w:r>
    </w:p>
    <w:p>
      <w:pPr>
        <w:spacing w:after="0" w:line="1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by Pfizer of the performance by RemainCo of its obligations under the Distribution Agreement following the effective time of the Merger.</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RemainCo’s board of directors also considered certain aspects of the Distribution that may be adverse to SpinCo. SpinCo’s common shares may come under selling pressure as certain RemainCo shareholders sell their SpinCo shares because they are not interested in holding an investment in SpinCo’s businesses. Moreover, certain factors such as the small size and expected market value of SpinCo may limit investors’ ability to appropriately value SpinCo’s common shares. Because SpinCo will no longer be part of RemainCo, the Distribution also will limit the ability of SpinCo to pursue cross-company business initiatives with the businesses that will be owned by RemainCo. In addition, after the Distribution, SpinCo will not own any rights to the CGRP platform, including rimegepant, which is RemainCo’s exclusive commercial product. Finally, as a result of the Distribution, SpinCo will bear significant incremental costs associated with being a publicly held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After the Distribution, we will be a public company and own certain assets and liabilities of RemainCo related to its pipeline assets and businesses. Immediately after the Distribution, we expect to have approximately 54 holders of record of our common shares and approximately 36.6 million of our common shares outstanding, based on the number of shareholders of record and outstanding RemainCo common shares on June 30, 2022 and after giving effect to the delivery to shareholders of cash in lieu of fractional shares of our common shares. The actual number of shares to be distributed will be determined on the record date. You can find information regarding equity awards that will be outstanding after the Distribution in the section captioned, “Executive Compensation—Treatment of Outstanding Awards.”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Prior to the Distribution, we will enter into a Transition Services Agreement with RemainCo, pursuant to which we will provide certain transition services to RemainCo, and RemainCo will provide certain transition services to us.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Distribution will not affect the number of outstanding RemainCo common shares or any rights of RemainCo shareholders. For more information on the treatment of RemainCo common shares in the Merger, see RemainCo’s Proxy Statement on Schedule 14A covering the Merger and related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Distribution Agreement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Below is a summary of the material terms of the Distribution Agreement. The description of the Distribution Agreement in this section and elsewhere in this information statement is qualified in its entirety by reference to the complete text of the Distribution Agreement, a copy of which is attached as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to the registration statement on Form 10 of which this information statement forms a part and is incorporated by reference into this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This summary does not purport to be complete and may not contain all of the information about the Distribution Agreement that is important to you. We encourage you to read the Distribution Agreement carefully and in its entirety.</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Distribution Agreement and this summary of its terms are included to provide you with information regarding its terms. Factual disclosures about RemainCo contained in this Information Statement or in RemainCo’s public reports filed with the SEC may supplement, update or modify the factual disclosures about RemainCo contained in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0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a condition to the Merger, RemainCo will consummate the Distribution, with the distribution of all of the issued and outstanding shares of SpinCo to RemainCo’s shareholders at the ratio of one SpinCo common share for every two RemainCo common shares. Prior to the Distribution, RemainCo will consummate or cause to be consummated certain restructuring transactions, including the Distribution.</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Among other things, the Distribution Agreement specifies which assets of RemainCo are to be transferred to, and which liabilities of RemainCo are to be assumed by, SpinCo and its subsidiaries, and sets forth when and how these transfers and assumptions will occur. The Distribution Agreement also includes procedures by which RemainCo and SpinCo will become separate and independent companies (subject to the Transition Services Agreement). The matters addressed by the Distribution Agreement include the matters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Assets and Assumption of Liabilities</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Distribution Agreement identifies the assets to be transferred to (including the contracts to be assigned) or retained by, and the liabilities to be assumed or retained by, each of RemainCo and SpinCo, and it provides for when and how these transfers, assumptions and assignments will occur. For the purpose of the Distribution Agreement, and subject to terms of and any exceptions set forth in the Distribution Agreement, the assets consist of all right, title and ownership interests in and to all assets, properties, claims, contracts and rights (including goodwill), wherever located (including in the possession of vendors or other third parties or elsewhere on behalf of a person or entity), of every kind, character and description, whether real, personal or mixed, tangible or intangible, whether accrued or contingent, in each case whether or not received, recorded or reflected or required to be recorded or reflected on the books and records or financial statements of any a person or entity, including rights and benefits pursuant to any contract, license, permit, indenture, note, bond, mortgage, agreement, concession, franchise, instrument, undertaking, commitment, understanding or other arrangement. Liabilities consist of any and all debts, guarantees, assurances, commitments, losses, remediation, deficiencies, penalties, settlements, sanctions, costs, expenses, interest and obligations, whether accrued or fixed, absolute or contingent, matured or unmatured, known or unknown, reserved or unreserved, or determined or determinable, including those arising under any law (including environmental laws), proceeding, whether asserted or unasserted, or 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which may be imposed and including all costs and expenses related thereto.</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Generally, following the Spin-Off, SpinCo will own, assume or retain certain assets and liabilities of RemainCo and its subsidiaries related to RemainCo’s pipeline assets and businesses, and RemainCo will own, assume or retain all other assets and liabilities, including those associated with the CGRP Business.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particular, the Distribution Agreement provides that subject to the terms and conditions contained therein, the following assets will generally be retained by or transferred to SpinCo, subject to certain exceptions:</w:t>
      </w:r>
    </w:p>
    <w:p>
      <w:pPr>
        <w:spacing w:after="0" w:line="108" w:lineRule="exact"/>
        <w:rPr>
          <w:sz w:val="20"/>
          <w:szCs w:val="20"/>
          <w:color w:val="auto"/>
        </w:rPr>
      </w:pPr>
    </w:p>
    <w:p>
      <w:pPr>
        <w:ind w:left="660" w:right="3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registered intellectual property applications, registrations and issuances (including, as applicable, the common law rights and goodwill associated therewith), the “Biohaven” name and marks and any goodwill and common law rights thereto, and all other intellectual property (other than registered intellectual property) exclusively applicable to the SpinCo business;</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interests in the capital stock of, or any other equity interests in, the subsidiaries of RemainCo that are designated in the Distribution Agreement as subsidiaries of SpinCo following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in and to specified real property and real property leases (which we refer to as “SpinCo real property”);</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computers and other electronic data processing and communications equipment and other IT systems, fixtures, machinery, equipment (including, without limitation, all laboratory equipment and related materials), furniture, office equipment, special and general tools, test devices, prototypes and models and other tangible personal property located at any SpinCo real property or otherwise exclusively related to the SpinCo business, including certain specified IT systems;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199" w:right="359" w:bottom="1440" w:gutter="0" w:footer="0" w:header="0"/>
        </w:sectPr>
      </w:pPr>
    </w:p>
    <w:bookmarkStart w:id="70" w:name="page71"/>
    <w:bookmarkEnd w:id="70"/>
    <w:p>
      <w:pPr>
        <w:ind w:left="660" w:right="8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which have been issued by any governmental authority and are held by SpinCo or any of its subsidiaries following the Distribution, or to the extent transferable, relate exclusively to, or are used exclusively, in the SpinCo business;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exclusively related to or arising out of the SpinCo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clinical products, goods, materials, parts, raw materials and clinical supplies exclusively related to the SpinCo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contracts, offer letters and restrictive covenant agreements entered into with the employees to be transferred to SpinCo;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 plans not designated as benefit plans to remain with RemainCo;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in connection with and assets funding any obligation under each such benefit plan;</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exclusively related to the SpinCo business;</w:t>
      </w:r>
    </w:p>
    <w:p>
      <w:pPr>
        <w:spacing w:after="0" w:line="1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contracts, any other contracts exclusively related to the SpinCo business and specified shared contracts, and all rights and obligations and other liabilities (whether accrued or contingent) arising under any such contracts;</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insurance policies and all rights in the nature of insurance, indemnification or contribution exclusively related to, or related to claims arising out of, the SpinCo business, including certain specified insurance policies;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SpinCo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entitlement to payments to be made by RemainCo to SpinCo following the Spin-Off, as set forth in the Distribution Agreement; and</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(other than registered intellectual property) that are owned, leased or licensed, at or prior to the effective time of the Distribution, by RemainCo or any of its subsidiaries (including SpinCo or any of its subsidiaries following the Distribution) that are exclusively related to the SpinCo business.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of the assets other than the assets allocated to SpinCo will generally be retained by, or transferred to, RemainCo. The Distribution Agreement identifies specific assets that will be allocated to RemainCo, including, subject to certain exceptions:</w:t>
      </w:r>
    </w:p>
    <w:p>
      <w:pPr>
        <w:spacing w:after="0" w:line="108" w:lineRule="exact"/>
        <w:rPr>
          <w:sz w:val="20"/>
          <w:szCs w:val="20"/>
          <w:color w:val="auto"/>
        </w:rPr>
      </w:pPr>
    </w:p>
    <w:p>
      <w:pPr>
        <w:ind w:left="660" w:right="160" w:hanging="328"/>
        <w:spacing w:after="0" w:line="289" w:lineRule="auto"/>
        <w:tabs>
          <w:tab w:leader="none" w:pos="65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intellectual property used, practiced, held for the use or practice, or otherwise related to the CGRP Business (other than the name “Biohaven” or any derivative or variation thereof, and any trademarks associated with such name and certain licensed names and marks), including all such intellectual property applications, registrations and issuances, and all such intellectual property documentation relating to any of the foregoing;</w:t>
      </w:r>
    </w:p>
    <w:p>
      <w:pPr>
        <w:spacing w:after="0" w:line="10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interests in the capital stock of, or any other equity interests in, certain specified subsidiaries of RemainCo;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 systems used, held for the use of or otherwise related to the CGRP Business;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used, held for the use of or otherwise related to the CGRP Business, including all permits issued by the FDA and comparable governmental authorities relating to rimegepant, zavegepant, and the CGRP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vehicles owned or leased by RemainCo or any of its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related to or arising out of the CGRP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products, goods, materials, parts, raw materials and supplies related to the CGRP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01" w:right="359" w:bottom="1440" w:gutter="0" w:footer="0" w:header="0"/>
        </w:sectPr>
      </w:pPr>
    </w:p>
    <w:bookmarkStart w:id="71" w:name="page72"/>
    <w:bookmarkEnd w:id="71"/>
    <w:p>
      <w:pPr>
        <w:ind w:left="660" w:right="80" w:hanging="328"/>
        <w:spacing w:after="0" w:line="261"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related to the CGRP Business;</w:t>
      </w:r>
    </w:p>
    <w:p>
      <w:pPr>
        <w:spacing w:after="0" w:line="1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shared contracts and any other contracts related to the CGRP Business, and any rights or claims (whether accrued or contingent) arising under such contracts;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insurance policies and all rights in the nature of insurance, indemnification or contribution related to, or related to claims arising out of, the CGRP Business;</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that are owned, leased or licensed, at or prior to the effective time of the Distribution, by RemainCo or any of its subsidiaries (including SpinCo or any of its subsidiaries following the Distribution) that are related to the CGRP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contracts, offer letters and restrictive covenant agreements entered into with the employees to be retained by RemainCo;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benefit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in connection with and assets funding any obligation under each such benefit plan;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CGRP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Distribution Agreement provides that liabilities arising out of or resulting from the ownership or operation of SpinCo business or the assets allocated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will generally be retained by or transferred to SpinCo, including the following, subject to certain exceptions:</w:t>
      </w:r>
    </w:p>
    <w:p>
      <w:pPr>
        <w:spacing w:after="0" w:line="153"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legal proceedings, which are currently immaterial;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or resulting from the employee benefit plans to be retained by or transferred to SpinCo;</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or resulting from the employment or engagement of the employees to be retained by or transferred to SpinCo, whether arising on, prior to or following the effective time of the Merger;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allocated to SpinCo or any of its subsidiaries following the Distribution under the Distribution Agreement with respect to employee matters.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of the liabilities other than the liabilities allocated to SpinCo will generally be retained by or transferred to RemainCo. The Distribution Agreement identifies specific liabilities that will not be allocated to RemainCo, including:</w:t>
      </w:r>
    </w:p>
    <w:p>
      <w:pPr>
        <w:spacing w:after="0" w:line="108"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obligations of SpinCo or any of its subsidiaries following the Distribution under the Distribution Agreement or the Transition Services Agreement;</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under applicable Law as the result of or in relation to the operation or condition of any asset allocated to SpinCo, including SpinCo real property whether arising prior to, on or after the effective time of the Distribution;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the violation, prior to, on or after the effective time of the Distribution, of any permits allocated to SpinCo issued under any environmental law;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out of or resulting from the storage, disposal, generation, shipment or other management of hazardous materials on, at, under or from SpinCo real property or otherwise in connection with the CGRP Business prior to the effective time of the Distribution.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Consents and Delayed Transfers</w:t>
      </w:r>
    </w:p>
    <w:p>
      <w:pPr>
        <w:spacing w:after="0" w:line="17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Distribution Agreement provides that RemainCo and SpinCo will use commercially reasonable efforts to obtain any consents, approvals, licenses, permits, waivers, orders or authorizations with respect to, among other things, contracts required in connection with the Distribution or, at the written request of the other party, the assignment or novation of certain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201" w:right="359" w:bottom="1440" w:gutter="0" w:footer="0" w:header="0"/>
        </w:sectPr>
      </w:pPr>
    </w:p>
    <w:bookmarkStart w:id="72" w:name="page73"/>
    <w:bookmarkEnd w:id="72"/>
    <w:p>
      <w:pPr>
        <w:ind w:right="120"/>
        <w:spacing w:after="0" w:line="261" w:lineRule="auto"/>
        <w:rPr>
          <w:sz w:val="20"/>
          <w:szCs w:val="20"/>
          <w:color w:val="auto"/>
        </w:rPr>
      </w:pPr>
      <w:r>
        <w:rPr>
          <w:rFonts w:ascii="Times New Roman" w:cs="Times New Roman" w:eastAsia="Times New Roman" w:hAnsi="Times New Roman"/>
          <w:sz w:val="18"/>
          <w:szCs w:val="18"/>
          <w:color w:val="auto"/>
        </w:rPr>
        <w:t>obligations under contracts, licenses and other liabilities of the parties. The Distribution Agreement also requires RemainCo and SpinCo to cooperate with each other from and after the effective time of the Distribution to, among other things, execute and deliver, or use reasonable best efforts to cause to be executed and delivered, all instruments, and to make all filings and obtain all consents, approvals, licenses, permits, waivers, orders or authorizations in order to effectuate the transfer of the applicable assets and assignment and assumption of the applicable liabilities pursuant to the Distribution Agreement.</w:t>
      </w:r>
    </w:p>
    <w:p>
      <w:pPr>
        <w:spacing w:after="0" w:line="12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From and after the Distribution, with respect to any asset whose transfer or assignment is delayed, the party retaining such delayed asset will hold for the use and benefit of the party or its subsidiary entitled thereto (at the expense of the entity entitled thereto) and use commercially reasonable efforts to cooperate with the intended recipient to agree to any reasonable and lawful arrangements designed to provide the applicable party or its relevant subsidiary with the economic claims, rights, benefits and control over such delayed asset and assume the economic burdens and obligations with respect thereto in accordance with the Distribution Agreement, including by subcontracting, sublicensing or subleasing arrangements to the extent legally permissible. From and after the Distribution, with respect to any liability whose assumption is delayed, the party or its relevant subsidiary intended to assume such delayed liability will, or will cause its relevant subsidiary to, pay or reimburse the party (or its relevant subsidiary) retaining such delayed liability for all amounts paid or incurred by such party in connection with the retention of such delayed liability. The party retaining any delayed asset or delayed liability will, or will cause its relevant subsidiary to, treat such delayed asset or delayed liability in the ordinary course of business in accordance with past practice.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Commingled Contracts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Distribution Agreement provides that any contract to which SpinCo or any of its subsidiaries following the Distribution is a party that relates to both the SpinCo business and the CGRP Business will be treated as commingled contracts. From the date of the Distribution Agreement until the date that is 12 months after the Distribution, to the extent the rights and obligations under any commingled contract have not or are not contemplated to be provided to SpinCo or any of its subsidiaries following the Distribution pursuant to the Transition Services Agreement, replacement contracts have not been obtained or are not contemplated to be obtained pursuant to the Distribution Agreement, and as requested by SpinCo in writing, RemainCo will use commercially reasonable efforts to assist SpinCo to establish replacement contracts, contract rights, bids, purchase orders or other agreements with respect to the SpinCo business, to assign to SpinCo or any of its subsidiaries following the Distribution the rights and obligations under such commingled contract to the extent related to the SpinCo business, or to establish reasonable and lawful arrangements designed to provide SpinCo and its subsidiaries following the Distribution with the rights and obligations under such commingled contract to the extent related to the SpinCo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of SpinCo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effective time of the Distribution, Pfizer or an affiliate of Pfizer will advance to RemainCo an amount equal to the remainder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$275 million, minus the sum of the amount of marketable securities and cash and cash equivalents contained in any accounts held by SpinCo as of the close of business on the day prior to the date of the Distribution, and RemainCo will contribute such funding to SpinCo. SpinCo’s liabilities under the Distribution Agreement include payment of certain expenses of the Spin-Off and Merger, which amounts will be deducted from the cash paid by Pfizer to RemainCo immediately prior to the effective time of the Distribution. Such expenses are currently estimated at $5.8 million. RemainCo and Pfizer also entered into a side letter, which provided that the SpinCo funding amount will also be reduced by approximately $4 million in connection with the purchase by the Company of shares of capital stock of Artizan Biosciences Inc., and by approximately $7.4 million of transaction expenses allocated to SpinCo. Following the payment of SpinCo expenses, deductions and adjustments described above, we anticipate that SpinCo will have approximately $257.8 million in cash as of the Distribution date.</w:t>
      </w:r>
    </w:p>
    <w:p>
      <w:pPr>
        <w:spacing w:after="0" w:line="1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Following the Spin-Off, RemainCo will be required to make certain tiered royalty payments at percentage rates in the low-tens to mid-teens to SpinCo in respect of aggregate annual net sales of rimegepant and zavegepant in the U.S. in excess of $5.25 billion, subject to an annual cap on royalties of $400 million per year (which cap will be reached if the aggregate annual net sales of rimegepant and zavegepant in the U.S. amount to $8.15 billion), for all years ended on or prior to December 31, 2040.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Spin-Off</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Spin-Off, and pursuant to the Distribution, RemainCo will distribute to RemainCo’s shareholders all of the issued and outstanding SpinCo common shares, on a pro rata basis. RemainCo’s board of directors (or a committee thereof), in accordance with applicable law, will establish a record date for the Distribution. Each holder of common shares of RemainCo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01" w:right="339" w:bottom="1440" w:gutter="0" w:footer="0" w:header="0"/>
        </w:sectPr>
      </w:pPr>
    </w:p>
    <w:bookmarkStart w:id="73" w:name="page74"/>
    <w:bookmarkEnd w:id="73"/>
    <w:p>
      <w:pPr>
        <w:ind w:right="40"/>
        <w:spacing w:after="0" w:line="282" w:lineRule="auto"/>
        <w:rPr>
          <w:sz w:val="20"/>
          <w:szCs w:val="20"/>
          <w:color w:val="auto"/>
        </w:rPr>
      </w:pPr>
      <w:r>
        <w:rPr>
          <w:rFonts w:ascii="Times New Roman" w:cs="Times New Roman" w:eastAsia="Times New Roman" w:hAnsi="Times New Roman"/>
          <w:sz w:val="18"/>
          <w:szCs w:val="18"/>
          <w:color w:val="auto"/>
        </w:rPr>
        <w:t>on the Distribution record date will be entitled to receive one common share of SpinCo for every two common shares of RemainCo held by such holder on the Distribution record date.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the Distribution date, immediately prior to the effective time of the Merger, RemainCo will instruct RemainCo’s stock transfer agent to effect the Spin-Off by distributing the SpinCo common shares to holders of record of RemainCo common shares, and to credit the appropriate number of SpinCo common shares to book entry accounts for each such holder of RemainCo common shares. RemainCo will instruct the stock transfer agent to deliver the SpinCo common shares to a depositary and to mail each holder of record of RemainCo common shares on the Distribution record date a statement of the SpinCo common shares credited to such holder’s account.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Spin-Off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consummation of the Spin-Off is subject to the satisfaction or waiver by each of RemainCo and SpinCo of the following conditions:</w:t>
      </w:r>
    </w:p>
    <w:p>
      <w:pPr>
        <w:spacing w:after="0" w:line="171" w:lineRule="exact"/>
        <w:rPr>
          <w:sz w:val="20"/>
          <w:szCs w:val="20"/>
          <w:color w:val="auto"/>
        </w:rPr>
      </w:pPr>
    </w:p>
    <w:p>
      <w:pPr>
        <w:ind w:left="660" w:right="140" w:hanging="328"/>
        <w:spacing w:after="0" w:line="261"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or waiver by the party entitled to the benefit thereof of the conditions to the obligations of the parties to the Merger Agreement to consummate the Merger, in each case, other than the completion of the Distribution and the conditions that can only be satisfied at the closing of the transactions contemplated by the Merger Agreement (provided that such conditions are then capable of being satisfied), and confirmation by Pfizer in writing that it is prepared to consummate the Merger, subject only to the consummation of the Distribution;</w:t>
      </w:r>
    </w:p>
    <w:p>
      <w:pPr>
        <w:spacing w:after="0" w:line="1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the effectiveness of the registration statement in connection with the Distribution by the SEC, no stop order suspending the effectiveness of the registration statement in connection with the Distribution, no proceedings for such purposes pending before or threatened by the SEC, and the mailing of the information statement to holders of RemainCo common shares as of the Distribution record date;</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SpinCo common shares to be delivered in the Distribution for listing on a national securities exchange, subject to compliance with applicable listing requirements;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by any court or other tribunal of competent jurisdiction shall have been entered and shall continue to be in effect and no law shall have been adopted or be effective preventing the consummation of the Distribution, the Separation or the Merger;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Transition Services Agreement;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all material respects of the Separation.</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of the foregoing conditions may be waived by RemainCo and SpinCo (to the extent permitted by applicable law). The second and fourth conditions listed above may not be waived pursuant to applicable law.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Agreement provides for the following access to information:</w:t>
      </w:r>
    </w:p>
    <w:p>
      <w:pPr>
        <w:spacing w:after="0" w:line="171" w:lineRule="exact"/>
        <w:rPr>
          <w:sz w:val="20"/>
          <w:szCs w:val="20"/>
          <w:color w:val="auto"/>
        </w:rPr>
      </w:pPr>
    </w:p>
    <w:p>
      <w:pPr>
        <w:ind w:left="660" w:hanging="328"/>
        <w:spacing w:after="0" w:line="258"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each of RemainCo and SpinCo agrees to provide to the other party, as soon as reasonably practicable after written request therefor, specific and identified agreements, documents, books, records or files (whether written or electronic) in the possession or under the control of such respective party or any of its subsidiaries which relate to the requesting party or to the SpinCo business, in the case of a request by SpinCo, or the CGRP Business, in the case of a request by RemainCo, or which are necessary or advisable for the requesting party to prepare its financial statements and any reports or filings to be made with any governmental authority;</w:t>
      </w:r>
    </w:p>
    <w:p>
      <w:pPr>
        <w:spacing w:after="0" w:line="129"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RemainCo and SpinCo will each use commercially reasonable efforts to make available, upon reasonable written request, its and its subsidiaries’ representatives as witnesses and any agreements, documents, books, records or files (whether written or electronic) within their control or which they may make available without undue burden, as reasonably required by the requesting party in connection with the prosecution or defense of any proceeding, with the requesting party to bear all reasonable out-of-pocket costs and expenses in connection therewith; and</w:t>
      </w:r>
    </w:p>
    <w:p>
      <w:pPr>
        <w:spacing w:after="0" w:line="12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five years after the Distribution date, upon reasonable prior notice, each of RemainCo and SpinCo will make available to the other applicable party’s officers and other authorized representatives reasonable access,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00"/>
          </w:cols>
          <w:pgMar w:left="320" w:top="1201" w:right="379" w:bottom="1440" w:gutter="0" w:footer="0" w:header="0"/>
        </w:sectPr>
      </w:pPr>
    </w:p>
    <w:bookmarkStart w:id="74" w:name="page75"/>
    <w:bookmarkEnd w:id="74"/>
    <w:p>
      <w:pPr>
        <w:ind w:left="660" w:right="60"/>
        <w:spacing w:after="0" w:line="255" w:lineRule="auto"/>
        <w:rPr>
          <w:sz w:val="20"/>
          <w:szCs w:val="20"/>
          <w:color w:val="auto"/>
        </w:rPr>
      </w:pPr>
      <w:r>
        <w:rPr>
          <w:rFonts w:ascii="Times New Roman" w:cs="Times New Roman" w:eastAsia="Times New Roman" w:hAnsi="Times New Roman"/>
          <w:sz w:val="18"/>
          <w:szCs w:val="18"/>
          <w:color w:val="auto"/>
        </w:rPr>
        <w:t>during normal business hours, to its employees and properties that relate to the other party’s business, and will furnish promptly all information concerning such other party’s business, and such other party’s properties and personnel related thereto, as may reasonably be requested, except (i) where any such inspection or disclosure of information would, in the reasonable judgment of such party, be detrimental to such party’s or its subsidiaries’ business or operations, result in the disclosure of trade secrets of third parties or violate confidentiality obligations, be reasonably likely to result in a violation of any law, or involve information that is reasonably pertinent to a litigation or proceeding between SpinCo and its affiliates, on the one hand, and RemainCo and its affiliates, on the other hand, after the Distribution, (ii) disclosure of any privileged information or (iii) submission to any invasive environmental testing or sampling.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Intercompany Contracts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Distribution Agreement provides that RemainCo and SpinCo will cause all agreements that are between SpinCo and its post-distribution subsidiaries, on the one hand, and RemainCo and its post-distribution subsidiaries, on the other hand, other than the Distribution Agreement and the Transition Services Agreement, to be terminated as of the effective time of the Distribution. The Distribution Agreement also provides that as of the effective time of the Distribution, all intercompany receivables, payables and loans, and intercompany balances between SpinCo and its post-distribution subsidiaries, on the one hand, and RemainCo and its post-distribution subsidiaries, on the other hand, will be settled or otherwise eliminated.</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Distribution Agreement also provides that as of the effective time of the Merger, the parties will take, or cause to be taken, all actions necessary to amend all contracts and agreements governing all bank and brokerage accounts owned by SpinCo or SpinCo’s subsidiaries following the Distribution or RemainCo or RemainCo’s subsidiaries following the Distribution, to cause such accounts to be de-linked from the accounts owned by the other party or any of its subsidiaries. Further, any outstanding checks or payments initiated by RemainCo, SpinCo, or any of their respective subsidiaries prior to the effective time of the Merger will be honored from and after the effective time of the Merger by the person or entity or group owning the account on which the check is drawn or from which the payment was initiated, without limiting the ultimate allocation of liability for such amounts under the Distribution Agreement or the Transition Services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Distribution Agreement provides that, subject to certain exceptions specified in the Distribution Agreement, each party, on behalf of itself and each member of its group, and to the extent permitted by law, all persons who any time prior to the Distribution were shareholders, directors, officers, agents or employees of any member of its respective group, effective at the time of the Distribution, will remise, release and forever discharge the other party and the other members of the other party’s group and their respective successors, shareholders, directors, officers, agents or employees from any and all liabilities to the extent existing or arising from any acts and events occurring or failing to occur or alleged to have occurred or failed to occur, and any conditions existing or alleged to have existed, on or before the Distribution, including in connection with the Separation, the Distribution or any of the other transactions contemplated under the Distribution Agreement or the Transition Services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Distribution Agreement, RemainCo agrees to indemnify, defend and hold harmless SpinCo, each of its affiliates after giving effect to the Distribution, and each of their respective directors, officers, employees and agents, from and against all losses to the extent arising out of, by reason of or otherwise in connection with:</w:t>
      </w:r>
    </w:p>
    <w:p>
      <w:pPr>
        <w:spacing w:after="0" w:line="122" w:lineRule="exact"/>
        <w:rPr>
          <w:sz w:val="20"/>
          <w:szCs w:val="20"/>
          <w:color w:val="auto"/>
        </w:rPr>
      </w:pPr>
    </w:p>
    <w:p>
      <w:pPr>
        <w:ind w:left="660" w:right="3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RemainCo and its subsidiaries following the Distribution pursuant to the Distribution Agreement</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RemainCo, any of its subsidiaries following the Distribution, or any other person or entity to pay, perform or otherwise promptly discharge such liabilities, whether prior to, at or after the effective time of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RemainCo or any of its subsidiaries of the Distribution Agreement or the Transition Services Agreement;</w:t>
      </w:r>
    </w:p>
    <w:p>
      <w:pPr>
        <w:spacing w:after="0" w:line="17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the SpinCo group pursuant to the Distribution Agreement, any guarantee, indemnification obligation, surety bond or other credit support agreement, arrangement, commitment or understanding to the extent discharged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201" w:right="379" w:bottom="1440" w:gutter="0" w:footer="0" w:header="0"/>
        </w:sectPr>
      </w:pPr>
    </w:p>
    <w:bookmarkStart w:id="75" w:name="page76"/>
    <w:bookmarkEnd w:id="75"/>
    <w:p>
      <w:pPr>
        <w:ind w:left="660" w:right="20"/>
        <w:spacing w:after="0" w:line="282" w:lineRule="auto"/>
        <w:rPr>
          <w:sz w:val="20"/>
          <w:szCs w:val="20"/>
          <w:color w:val="auto"/>
        </w:rPr>
      </w:pPr>
      <w:r>
        <w:rPr>
          <w:rFonts w:ascii="Times New Roman" w:cs="Times New Roman" w:eastAsia="Times New Roman" w:hAnsi="Times New Roman"/>
          <w:sz w:val="18"/>
          <w:szCs w:val="18"/>
          <w:color w:val="auto"/>
        </w:rPr>
        <w:t>or performed by any subsidiary of RemainCo following the Distribution for the benefit of any subsidiary of SpinCo following the Distribution that survives the effective time of the Distribution;</w:t>
      </w:r>
    </w:p>
    <w:p>
      <w:pPr>
        <w:spacing w:after="0" w:line="108" w:lineRule="exact"/>
        <w:rPr>
          <w:sz w:val="20"/>
          <w:szCs w:val="20"/>
          <w:color w:val="auto"/>
        </w:rPr>
      </w:pPr>
    </w:p>
    <w:p>
      <w:pPr>
        <w:ind w:left="660" w:right="120" w:hanging="328"/>
        <w:spacing w:after="0" w:line="261"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supplied by RemainCo in writing expressly for inclusion in the registration statement in connection with the Distribution or the related information statement (including any amendments or supplements), or any other filings with the SEC made in connection with the transactions contemplated by the Distribution Agreement; and</w:t>
      </w:r>
    </w:p>
    <w:p>
      <w:pPr>
        <w:spacing w:after="0" w:line="1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RemainCo common shares, in their capacity as such, in connection with the Distribution.</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SpinCo agrees to indemnify, defend and hold harmless RemainCo, each of its affiliates after giving effect to the Distribution, and each of their respective directors, officers, employees and agents, from and against all losses to the extent arising out of, by reason of or otherwise in connection with:</w:t>
      </w:r>
    </w:p>
    <w:p>
      <w:pPr>
        <w:spacing w:after="0" w:line="108" w:lineRule="exact"/>
        <w:rPr>
          <w:sz w:val="20"/>
          <w:szCs w:val="20"/>
          <w:color w:val="auto"/>
        </w:rPr>
      </w:pPr>
    </w:p>
    <w:p>
      <w:pPr>
        <w:ind w:left="660" w:right="38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the SpinCo and its subsidiaries following the Distribution pursuant to the Distribution Agreement;</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SpinCo, any of its subsidiaries following the Distribution or any other person or entity to pay, perform or otherwise promptly discharge such liabilities, whether prior to, at or after the effective time of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SpinCo or any of its subsidiaries of the Distribution Agreement or the Transition Services Agreement;</w:t>
      </w:r>
    </w:p>
    <w:p>
      <w:pPr>
        <w:spacing w:after="0" w:line="171"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RemainCo and its subsidiaries following the Distribution pursuant to the Distribution Agreement, any guarantee, indemnification obligation, surety bond or other credit support agreement, arrangement, commitment or understanding to the extent discharged or performed by SpinCo or any of its subsidiaries following the Distribution for the benefit of SpinCo or any of its subsidiaries following the Distribution that survives the effective time of the Distribution;</w:t>
      </w:r>
    </w:p>
    <w:p>
      <w:pPr>
        <w:spacing w:after="0" w:line="129"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in connection with the Distribution or the related information statement (including any amendments or supplements), or any other filings with the SEC made in connection with the transactions contemplated by the Distribution Agreement, excluding any such liabilities to the extent relating to information supplied by RemainCo in writing expressly for inclusion in such filings;</w:t>
      </w:r>
    </w:p>
    <w:p>
      <w:pPr>
        <w:spacing w:after="0" w:line="12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the SpinCo Shares, in their capacity as such, in connection with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SpinCo is liable for pursuant to the Distribution Agreement; and</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claims that Pfizer’s, RemainCo’s or its subsidiaries’ and affiliates’ use of the name “Biohaven” or any derivative or variation thereof, and any trademarks associated with such name, and certain other specified trademarks that infringe, dilute, constitute unfair competition or otherwise violate the rights of such third-party in a trademark.</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Distribution Agreement, the amount of any indemnifiable loss will be reduced by (i) any insurance proceeds actually received, and any other amounts actually recovered from unaffiliated third parties in respect of the indemnifiable claim, less (ii) any related costs and expenses of such receipt or recovery, including the aggregate cost of pursuing any related insurance claims. The Distribution Agreement provides that an insurer who would otherwise be obligated to pay any claim will not be relieved of the responsibility or have any subrogation rights solely by virtue of the indemnification provisions of the Distribution Agreement. Pursuant to the Distribution Agreement, the indemnified party will use commercially reasonable efforts to seek to collect or recover any third-party insurance proceeds or other indemnification, contribution or similar payments to which the indemnified party is entitled in connection with any liability for which the indemnified party seeks indemnification pursuant to the Distribution Agreement. The amount of any claim by an indemnified party under the Distribution Agreement will also be reduced to reflect any actual tax savings or insurance proceeds received by any indemnified party that result from the losses that gave rise to such indemnity, and will be increased by an amount equal to any tax cost incurred by any indemnified party that results from the receipt of payments under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201" w:right="339" w:bottom="1440" w:gutter="0" w:footer="0" w:header="0"/>
        </w:sectPr>
      </w:pPr>
    </w:p>
    <w:bookmarkStart w:id="76" w:name="page77"/>
    <w:bookmarkEnd w:id="76"/>
    <w:p>
      <w:pPr>
        <w:ind w:right="1380"/>
        <w:spacing w:after="0" w:line="438" w:lineRule="auto"/>
        <w:rPr>
          <w:sz w:val="20"/>
          <w:szCs w:val="20"/>
          <w:color w:val="auto"/>
        </w:rPr>
      </w:pPr>
      <w:r>
        <w:rPr>
          <w:rFonts w:ascii="Times New Roman" w:cs="Times New Roman" w:eastAsia="Times New Roman" w:hAnsi="Times New Roman"/>
          <w:sz w:val="18"/>
          <w:szCs w:val="18"/>
          <w:color w:val="auto"/>
        </w:rPr>
        <w:t xml:space="preserve">The Distribution Agreement also establishes procedures with respect to third-party claims subject to indemnification and related matters. </w:t>
      </w:r>
      <w:r>
        <w:rPr>
          <w:rFonts w:ascii="Times New Roman" w:cs="Times New Roman" w:eastAsia="Times New Roman" w:hAnsi="Times New Roman"/>
          <w:sz w:val="18"/>
          <w:szCs w:val="18"/>
          <w:i w:val="1"/>
          <w:iCs w:val="1"/>
          <w:color w:val="auto"/>
        </w:rPr>
        <w:t>Tax Matters</w:t>
      </w:r>
    </w:p>
    <w:p>
      <w:pPr>
        <w:spacing w:after="0" w:line="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Distribution Agreement will govern the respective rights, responsibilities and obligations of RemainCo and SpinCo after the Spin-Off with respect to tax liabilities and benefits, tax returns, tax contests, and tax sharing regarding U.S. federal, state, local and foreign taxes. The Distribution Agreement also will provide special rules for allocating certain tax liabilities resulting from the Spin-Off and related transactions.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Distribution Agreement, RemainCo and SpinCo generally will not provide a tax indemnity to each other with the exception of certain taxes for which SpinCo will indemnify RemainCo. Such indemnified taxes include any taxes arising in respect of certain restructuring steps undertaken by RemainCo, SpinCo and its affiliates prior to the Spin-Off, any taxes arising in respect of the Spin-Off, deferred payroll taxes, and transfer taxes.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Non-Solicit</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for a period of 12 months following the effective time of the Merger, none of RemainCo, SpinCo or any of their respective subsidiaries will, without the prior written consent of the other party, subject to certain exceptions, directly or indirectly recruit, solicit, hire or retain certain specified employees of the other party, or subject to certain exceptions, induce or attempt to induce any such employee to terminate his or her employment with, or otherwise cease his or her relationship with, the other party or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Covenants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Distribution Agreement also addresses additional obligations of the parties relating to, among other matters, further assurances, guarantees, provision and retention of corporate records, confidentiality, privilege, ownership and exchanges of information and using their reasonable best efforts to, prior to the Distribution date, finalize the Transition Services Agreement and identify the services to be provided under the Transition Services Agreement, as well as other matters.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Pfizer Guaranty</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Distribution Agreement includes a guaranty by Pfizer of the performance by RemainCo of its obligations under the Distribution Agreement and the Transition Services Agreement following the effective time of the Merger.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Matters</w:t>
      </w:r>
    </w:p>
    <w:p>
      <w:pPr>
        <w:spacing w:after="0" w:line="17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Prior to the effective time of the Distribution, SpinCo will transfer and assign the employment of all current and former employees, independent contractors or other service providers of RemainCo or any of its affiliates who primarily provide, or who have primarily provided, services to the CGRP Business (other than the SpinCo employees) and who are current employees as of immediately prior to the Distribution to the Surviving Entity or a subsidiary of the Surviving Entity (which we refer to as the “Surviving Entity group”). Such transfer will not be deemed to be a termination of employment by SpinCo or any of its subsidiaries as of the effective time of the Distribution (which we refer to as the “SpinCo group”), as applicable, and will not trigger any obligation to pay severance, separation pay, salary continuation, or other similar benefits to any such transferred employee. The Spin-Off will not be a “change in control” or term of similar import under any Surviving Entity plan or SpinCo benefit plan, but the closing of the transactions contemplated by the Merger Agreement will be a “change in control” or term of similar import for purposes of specified Surviving Entity plans and SpinCo benefit plans.</w:t>
      </w:r>
    </w:p>
    <w:p>
      <w:pPr>
        <w:spacing w:after="0" w:line="116"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Pursuant to the Distribution Agreement, RemainCo equity awards will be subject to the treatment described below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Outstanding Awards.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RemainCo will assume and honor, or will cause a member of the Surviving Entity group to assume and honor, certain specified employment and individual agreements between RemainCo and certain employees. SpinCo will, or will cause a member of the SpinCo group to, retain all other employment and individual agreements with SpinCo employees.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Transition Services Agreement, (i) RemainCo and members of the Surviving Entity group (as applicable) will each cease to be a participating company in any SpinCo benefit plan (if applicable) and (ii) each transferred employee will cease to participate in, be covered by, accrue benefits under or be eligible to contribute to any SpinCo benefit plan. The parties agree that neither the Distribution nor any transfers of employment from SpinCo or 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01" w:right="339" w:bottom="1440" w:gutter="0" w:footer="0" w:header="0"/>
        </w:sectPr>
      </w:pPr>
    </w:p>
    <w:bookmarkStart w:id="77" w:name="page78"/>
    <w:bookmarkEnd w:id="77"/>
    <w:p>
      <w:pPr>
        <w:ind w:right="40"/>
        <w:spacing w:after="0" w:line="282" w:lineRule="auto"/>
        <w:rPr>
          <w:sz w:val="20"/>
          <w:szCs w:val="20"/>
          <w:color w:val="auto"/>
        </w:rPr>
      </w:pPr>
      <w:r>
        <w:rPr>
          <w:rFonts w:ascii="Times New Roman" w:cs="Times New Roman" w:eastAsia="Times New Roman" w:hAnsi="Times New Roman"/>
          <w:sz w:val="18"/>
          <w:szCs w:val="18"/>
          <w:color w:val="auto"/>
        </w:rPr>
        <w:t>subsidiaries to the Surviving Entity group that occur as contemplated by the Distribution Agreement will constitute a “qualifying event” for purposes of the Consolidated Omnibus Budget Reconciliation Act (“COBRA”).</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SpinCo will have full responsibility with respect to any liabilities and the payment or performance of any obligation arising out of or relating to any annual cash bonus or other short-term cash incentive plan or program in which SpinCo employees participate, and RemainCo will have full responsibility with respect to any liabilities and the payment or performance of any obligation arising out of or relating to any annual cash bonus or other short-term cash incentive plan or program in which Surviving Entity employees participate (and with respect to RemainCo, will retain responsibility for the payment of the bonuses thereunder with respect to the entire calendar year in which the closing occurs). Neither RemainCo nor any member of the Surviving Entity group will assume any annual cash or other short-term cash incentive plan or program maintained or sponsored by SpinCo or its subsidiaries.</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Except for any SpinCo Options and SpinCo RSUs issued pursuant to Section 4.5(c)(iii) or Section 4.5(c)(iv) of the Distribution Agreement to current or former members of RemainCo’s board of directors, RemainCo will retain responsibility for the payment of any cash fees payable in respect of service on the board of directors pre-closing that are required by existing benefit plans as of the date of the Distribution Agreement and payable but not yet paid as of the Distribution. SpinCo will have no responsibility for any such payments.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RemainCo may implement a cash retention program in accordance with the terms of the Merger Agreement. SpinCo will retain responsibility for any payments in respect of outstanding employee stock options to purchase common shares of BioShin Limited (“Bioshin Options”), other than with respect to such stock options that RemainCo may, in accordance with the Merger Agreement, exchange for or convert into RemainCo restricted stock units or cash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Names and Marks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Distribution Agreement, SpinCo, on behalf of itself and its subsidiaries following the Distribution, grants to Pfizer, RemainCo and each of their respective subsidiaries and affiliates a worldwide, non-exclusive, royalty-free license to use and display the name “Biohaven” or any derivative or variation thereof, and any trademarks associated with such name, and certain other specified trademarks for two years immediately following the Distribution date, solely in connection with the operation of the CGRP Business (or any natural evolutions or extension thereof) and on signage and materials owned or possessed by RemainCo and its subsidiaries as of the Distribution date, in accordance with SpinCo’s generally applicable trademark usage guidelines, and as otherwise required to comply with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IP</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Distribution Agreement, RemainCo on behalf of itself and its subsidiaries grants to SpinCo and each of its subsidiaries a non-exclusive, worldwide, perpetual, irrevocable, fully paid-up, royalty-free, nontransferable (except as otherwise set forth in the Distribution Agreement), non-sublicensable (except as otherwise set forth in the Distribution Agreement) license under certain trade secrets included in the assets allocated to RemainCo that are necessary for the conduct of the SpinCo business. SpinCo, on behalf of itself and its subsidiaries, grants to RemainCo a non-exclusive, worldwide, perpetual, irrevocable, fully paid-up, royalty-free, nontransferable (except as otherwise set forth in the Distribution Agreement), non-sublicensable (except as otherwise set forth in the Distribution Agreement) license under certain trade secrets included in the assets allocated to SpinCo that are necessary for the conduct of the CGRP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the Distribution Agreement or Transition Services Agreement, costs and expenses incurred on or prior to the date of the Distribution in connection with the Distribution Agreement, the Transition Services Agreement, the registration statement in connection with the Distribution or the related information statement, and the transactions contemplated thereby, including the Distribution, will be paid by SpinCo and deemed to be liabilities of SpinCo. Each party will bear its own costs and expenses incurred after the date of the Distribution.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Distribution Agreement may be terminated, and the Distribution may be amended, modified or abandoned, at any time prior to the Distribution by and in the sole discretion of RemainCo. After the Distribution, the Distribution Agreement may only be terminated by an agreement in writing signed by RemainCo and SpinCo.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parties to the Distribution Agreement have agreed that the Distribution Agreement is governed by, and will be construed in accordance with, the laws of the State of Delaware.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Jurisdiction</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parties to the Distribution Agreement have agreed that any proceeding brought with respect to the Distribution Agreement or the transactions contemplated thereby, or for recognition and enforcement of any judgment in respect thereof, brought by RemainCo or SpinCo or its successors or assigns will be determined in the Court of Chancery of the State of Delaware. If the Court of Chancery declines jurisdiction, any other state court of the State of Delaware or the United States District Court for the District of Delaware will have exclusive jurisdiction and 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Third-Party Beneficiary</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Distribution Agreement is solely for the benefit of the parties to the Distribution Agreement and it does not confer upon any person (other than the parties to the Distribution Agreement and their respective successors and permitted assigns), including any current employee of RemainCo or former employee or service provider of SpinCo, any right, benefit or remedy of any nature.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parties to the Distribution Agreement agreed that, at any time prior to the effective time of the Distribution, either party may extend the time for the performance of any of the obligations or other acts of the other party, or may waive compliance with any of the agreements of the other party or any conditions to its own obligations, in each case, only to the extent such obligations, agreements and conditions are intended for its benefit, provided that such extension or waiver is set forth in a writing executed by such party.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Specific Performance</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parties to the Distribution Agreement have agreed that irreparable harm would occur that monetary damages could not make whole in the event of any breach of the Distribution Agreement, and that the parties to the Distribution Agreement are entitled to compel specific performance to prevent or restrain breaches or threatened breaches of the Distribution Agreement without posting any bond or undertaking, in addition to any other remedy to which the parties may be entitled at law or in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7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This section describes certain U.S. federal income tax consequences of the Distribution to U.S. holders (as defined below) of RemainCo common shares, and certain U.S. federal income tax consequences of the ownership of SpinCo’s common shares acquired pursuant to the Distribution. This section applies solely to persons that hold RemainCo common shares and/or SpinCo’s common shares as capital assets for tax purposes. This section addresses only United States federal income taxation and does not discuss all of the tax consequences that may be relevant to a holder in light of such holder’s individual circumstances, including non-U.S., state or local tax consequences, estate and gift tax consequences, and tax consequences arising under the Medicare contribution tax on net investment income or the alternative minimum tax. This section does not apply to holders subject to special rules, including:</w:t>
      </w:r>
    </w:p>
    <w:p>
      <w:pPr>
        <w:spacing w:after="0" w:line="119"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foreign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securities holdings;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financial institution, or insurance company;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directly, indirectly or constructively owns 5% or more of the combined voting power of RemainCo or SpinCo, or of the total value of the common shares of RemainCo or SpinCo;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1199" w:right="379" w:bottom="1440" w:gutter="0" w:footer="0" w:header="0"/>
        </w:sectPr>
      </w:pPr>
    </w:p>
    <w:bookmarkStart w:id="79" w:name="page80"/>
    <w:bookmarkEnd w:id="79"/>
    <w:p>
      <w:pPr>
        <w:ind w:left="660" w:right="30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RemainCo common shares or SpinCo common shares as part of a straddle or a hedging, conversion, or other risk reduction transaction for U.S. federal income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acquires or sells RemainCo common shares as a part of wash sale for U.S. federal income tax purposes;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acquired RemainCo common shares or SpinCo common shares pursuant to the exercise of employee share options or otherwise as compensation;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RemainCo common shares or SpinCo common shares that is, for U.S. federal income tax purposes:</w:t>
      </w:r>
    </w:p>
    <w:p>
      <w:pPr>
        <w:spacing w:after="0" w:line="108"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that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can exercise primary supervision over the trust’s administration and one or more persons are authorized to control all substantial decisions of the trust.</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section is based on the Internal Revenue Code of 1986, as amended (the “Code”), its legislative history, existing and proposed regulations, published rulings and court decisions, as well as on applicable tax treaties, all as currently in effect. These authorities are subject to change, possibly on a retroactive basis.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discussion is intended to provide only a general summary of the material U.S. federal income tax consequences of the Distribution to holders of RemainCo common shares and the ownership of SpinCo’s common shares acquired pursuant to the Distribution. We do not intend it to be a complete analysis or description of all potential U.S. federal income tax consequences of the Distribution. The U.S. federal income tax laws are complex and subject to varying interpretations. Accordingly, the Internal Revenue Service (“IRS”) may not agree with the tax consequences described in this Information Statement.</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2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RemainCo common shares or SpinCo common shares, the U.S. federal income tax treatment of a partner will generally depend on the status of the partner and the tax treatment of the partnership. A partner in an entity or arrangement treated as a partnership for U.S. federal income tax purposes holding shares should consult its tax advisors with regard to the U.S. federal income tax treatment of the Distribution and ownership of SpinCo common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Distribution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U.S. federal income tax laws, and subject to the discussion of PFIC taxation below, a U.S. holder must include in its gross income the gross amount of any dividend paid by RemainCo to the extent of its current or accumulated earnings and profits (as determined for U.S. federal income tax purposes). Dividends will be taxed as ordinary income to the extent that they are paid out of RemainCo’s current or accumulated earnings and profits. Dividends paid to a non-corporate U.S. holder by certain “qualified foreign corporations” that constitute qualified dividend income are taxable to the shareholder at the preferential rates applicable to long-term capital gains, provided that the shareholder holds the shares for more than 60 days during the 121-day period beginning 60 days before the ex-dividend date and meets other holding period requirements. For this purpose, stock of RemainCo will be treated as stock of a qualified foreign corporation if such stock is listed on an established securities market in the United States. RemainCo common shares are listed on the New York Stock Exchange, which is treated as an established securities market in the United States for these purposes. Accordingly, subject to the discussion of PFIC taxation below, RemainCo expects that any amount treated as a dividend paid by RemainCo pursuant to the Distribution will constitute qualified dividend income, assuming the U.S. holder’s holding period requirements are met.</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U.S. holder must include any foreign tax withheld from the dividend payment in this gross amount even though the shareholder does not in fact receive the amount withheld. The dividend is taxable to a U.S. holder when the U.S. holder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1201" w:right="359" w:bottom="1440" w:gutter="0" w:footer="0" w:header="0"/>
        </w:sectPr>
      </w:pPr>
    </w:p>
    <w:bookmarkStart w:id="80" w:name="page81"/>
    <w:bookmarkEnd w:id="80"/>
    <w:p>
      <w:pPr>
        <w:ind w:right="80"/>
        <w:spacing w:after="0" w:line="266" w:lineRule="auto"/>
        <w:rPr>
          <w:sz w:val="20"/>
          <w:szCs w:val="20"/>
          <w:color w:val="auto"/>
        </w:rPr>
      </w:pPr>
      <w:r>
        <w:rPr>
          <w:rFonts w:ascii="Times New Roman" w:cs="Times New Roman" w:eastAsia="Times New Roman" w:hAnsi="Times New Roman"/>
          <w:sz w:val="18"/>
          <w:szCs w:val="18"/>
          <w:color w:val="auto"/>
        </w:rPr>
        <w:t>receives the dividend, actually or constructively. The dividend will not be eligible for the dividends-received deduction allowed to United States corporations in respect of dividends received from other United States corporations. The amount of the dividend distribution that a U.S. holder must include in income will be the fair market value of the SpinCo common shares received by such holder in the Distribution as of the date of the Distribution.</w:t>
      </w:r>
    </w:p>
    <w:p>
      <w:pPr>
        <w:spacing w:after="0" w:line="12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as determined for U.S. federal income tax purposes, are treated as a non-taxable return of capital to the extent of the U.S. holder’s basis in the shares of RemainCo stock, causing a reduction in the U.S. holder’s adjusted basis in RemainCo stock, and thereafter as capital gain. However, RemainCo has not calculated earnings and profits in accordance with U.S. federal income tax principles. Accordingly, U.S. holders should expect to treat the Distribution as a dividend.</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Dividends will generally be income from sources outside the United States and will generally be “passive” income for purposes of computing the foreign tax credit allowable to a U.S. holder. However, if (a) RemainCo is 50% or more owned, by vote or value, by United States persons and (b) at least 10% of RemainCo’s earnings and profits are attributable to sources within the United States, then for foreign tax credit purposes, a portion of RemainCo’s dividends would be treated as derived from sources within the United States. With respect to any dividend paid for any taxable year, the United States source ratio of RemainCo’s dividends for foreign tax credit purposes would be equal to the portion of RemainCo’s earnings and profits from sources within the United States for such taxable year, divided by the total amount of RemainCo’s earnings and profits for such taxable year. There can be no assurance that no portion of our dividends will be treated as derived from sources within the United States pursuant to the rule described in this paragraph.</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U.S. holder’s tax basis in its SpinCo common shares received will be equal to the fair market value of such common shares on the Distribution date, and the holding period for those common shares generally would begin on the day after the Distribution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RemainCo believes that it is not and has not been a PFIC for U.S. federal income tax purposes for the taxable year of the Distribution or for any prior taxable year. However, the determination of whether RemainCo is a PFIC is a fact-intensive determination made on an annual basis applying principles and methodologies which in some circumstances are unclear and subject to varying interpretation. In particular, the characterization of RemainCo’s assets as active or passive may depend in part on its current and intended future business plans which are subject to change. In addition, for RemainCo’s current and prior taxable years, the total value of its assets for PFIC testing purposes may fluctuate considerably from time to time, and is dependent on the application (which inherently involves an element of judgment) of the relevant valuation assumptions and methodologies. Under the income test, RemainCo’s status as a PFIC depends on the composition of RemainCo’s income which, in RemainCo’s past, current and future taxable years, RemainCo may not be able to fully control, for example, with respect to income attributed to RemainCo from entities owned 25% or more by RemainCo. Therefore, RemainCo cannot provide any assurance regarding its PFIC status for any past, current or future taxable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RemainCo will be a PFIC with respect to a U.S. holder if for any taxable year in which the holder held RemainCo common shares:</w:t>
      </w:r>
    </w:p>
    <w:p>
      <w:pPr>
        <w:spacing w:after="0" w:line="171"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RemainCo’s gross income for the taxable year is passive income; or</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on the basis of a quarterly average, of RemainCo’s assets is attributable to assets that produce or are held for the production of passive income.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Other than with respect to stock of a domestic corporation that is 25%-owned (by value) by certain foreign corporations,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RemainCo is a PFIC, and a U.S. holder did not make a mark-to-market election, as described below, the holder will generally be subject to special rules with respect to:</w:t>
      </w:r>
    </w:p>
    <w:p>
      <w:pPr>
        <w:spacing w:after="0" w:line="108"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the holder realizes on the sale or other disposition of the shares;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201" w:right="359" w:bottom="1440" w:gutter="0" w:footer="0" w:header="0"/>
        </w:sectPr>
      </w:pPr>
    </w:p>
    <w:bookmarkStart w:id="81" w:name="page82"/>
    <w:bookmarkEnd w:id="81"/>
    <w:p>
      <w:pPr>
        <w:ind w:left="660" w:right="140" w:hanging="328"/>
        <w:spacing w:after="0" w:line="261"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that RemainCo makes to the holder (generally, any distributions to the holder during a single taxable year, other than the taxable year in which the holder’s holding period in the shares begins, that are greater than 125% of the average annual distributions received by the holder in respect of the shares during the three preceding taxable years or, if shorter, the holder’s holding period for the shares that preceded the taxable year in which the holder receives the distribution).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71"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holder’s holding period for the shares;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in which the holder realized the gain or excess distribution or to prior years before the first year in which RemainCo was a PFIC with respect to the holder will be taxed as ordinary income;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prior year will be taxed at the highest tax rate in effect for that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in respect of the tax attributable to each such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rules apply for calculating the amount of the foreign tax credit with respect to excess distributions by a PFIC.</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RemainCo is a PFIC in a taxable year and RemainCo common shares are treated as “marketable stock” in such year, a U.S. holder may make a mark-to-market election with respect to the shares. If the U.S. holder makes this election, the holder will not be subject to the PFIC rules described above. Instead, in general, the holder will include as ordinary income each year the excess, if any, of the fair market value of the shares at the end of the taxable year over the holder’s adjusted basis in the shares. The holder will also be allowed to take an ordinary loss in respect of the excess, if any, of the adjusted basis of the shares over their fair market value at the end of the taxable year (but only to the extent of the net amount of previously included income as a result of the mark-to-market election). The U.S. holder’s basis in the shares will be adjusted to reflect any such income or loss amounts. Any gain that the holder recognizes on the sale or other disposition of the shares would be ordinary income and any loss would be an ordinary loss to the extent of the net amount of previously included income as a result of the mark-to-market election and, thereafter, a capital loss.</w:t>
      </w:r>
    </w:p>
    <w:p>
      <w:pPr>
        <w:spacing w:after="0" w:line="1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U.S. holder’s shares will generally be treated as stock in a PFIC if RemainCo was a PFIC at any time during the holder’s holding period in the shares, even if RemainCo is not currently a PFIC.</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notwithstanding any election a U.S. holder makes with regard to the shares, dividends that the holder receives from RemainCo will not constitute qualified dividend income to the holder if RemainCo is a PFIC (or is treated as a PFIC with respect to the holder) either in the taxable year of the distribution or the preceding taxable year. Dividends that the holder receives that do not constitute qualified dividend income are not eligible for taxation at the preferential rates applicable to qualified dividend income. Instead, the holder must include the gross amount of any such dividend paid by RemainCo out of RemainCo’s accumulated earnings and profits (as determined for U.S. federal income tax purposes) in the holder’s gross income, and it will be subject to tax at rates applicable to ordinary income.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certain circumstances, a U.S. holder of shares in a PFIC may alleviate some of the adverse tax consequences described above by making a QEF election to include in income its pro rata share of the corporation’s income on a current basis. However, a U.S. holder may make a qualified electing fund election with respect to RemainCo common shares only if RemainCo agrees to furnish such U.S. holder annually with a PFIC annual information statement as specified in the applicable U.S. Treasury Regulations. RemainCo currently does not intend to prepare or provide the information that would enable U.S. holders to make a QEF election if RemainCo is treated as a PFIC for any taxable year, and U.S. holders of RemainCo common shares should assume that a QEF election will not be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U.S. holder owns shares during any year that RemainCo is a PFIC with respect to the holder, the holder may be required to file IRS Form 8621.</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as to the application of the PFIC rules in the event that their RemainCo common shares were treated as stock of a PFIC.</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ASSURANCE CAN BE GIVEN REGARDING BIOHAVEN’S PFIC STATUS FOR ANY PAST, CURRENT OR FUTURE TAXABLE YEARS. U.S. HOLDERS SHOULD CONSULT THEIR OWN TAX ADVISORS WITH RESPECT TO THE OPERATION OF THE PFIC RULES AND RELATED REPORTING REQUIREMENTS IN LIGHT OF THEIR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00"/>
          </w:cols>
          <w:pgMar w:left="320" w:top="120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PARTICULAR CIRCUMSTANCES, INCLUDING THE ADVISABILITY OF MAKING ANY ELECTION THAT MAY BE AVAILABLE.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Owning SpinCo Common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tax treatment of SpinCo common shares will depend in part on whether or not SpinCo is classified as a passive foreign investment company, or PFIC, for U.S. federal income tax purposes. Except as discussed below under “—PFIC Considerations,” this discussion assumes that SpinCo is not classified as a PFIC for U.S.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U.S. federal income tax laws, the gross amount of any distribution SpinCo pays out of its current or accumulated earnings and profits (as determined for U.S. federal income tax purposes), other than certain pro-rata distributions of SpinCo shares, will be treated as a dividend that is subject to U.S. federal income taxation. For a noncorporate U.S. holder, dividends that constitute qualified dividend income will be taxable to the holder at the preferential rates applicable to long-term capital gains, provided that the holder holds the shares for more than 60 days during the 121-day period beginning 60 days before the ex-dividend date and meets other holding period requirements. For this purpose, SpinCo common shares are treated as stock of a “qualified foreign corporation” if SpinCo common shares are readily tradable on an established securities market in the United States. SpinCo common shares are expected to be readily tradable on an established securities market in the United States, in which case dividends that SpinCo pays with respect to its common shares would generally constitute qualified dividend income, assuming the holding period requirements are met. However, SpinCo can give no assurances in this regard.</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U.S. holder must include any foreign tax withheld, if any, from the dividend payment in this gross amount even though the holder does not in fact receive it. The dividend is taxable to a U.S. holder when the holder receives the dividend, actually or constructively. The dividend will not be eligible for the dividends-received deduction generally allowed to United States corporations in respect of dividends received from other United States corporations. Distributions in excess of current and accumulated earnings and profits, as determined for U.S. federal income tax purposes, will be treated as a non-taxable return of capital to the extent of the holder’s basis in the shares and thereafter as capital gain. SpinCo does not currently expect to calculate earnings and profits in accordance with U.S. federal income tax principles. Accordingly, a U.S. holder should expect to generally treat distributions that SpinCo makes as dividends.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and the following sentence, the foreign tax withheld, if any, and paid over to foreign countries will be creditable or deductible against a U.S. holder’s U.S. federal income tax liability. However, under recently finalized Treasury regulations, it is possible that taxes may not be creditable. Special rules apply in determining the foreign tax credit limitation with respect to dividends that are subject to the preferential tax rates. To the extent a reduction or refund of the tax withheld is available to the holder under foreign law, the amount of tax withheld that could have been reduced or that is refundable will not be eligible for credit against the holder’s U.S. federal income tax liability.</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Dividends will generally be income from sources outside the United States and will generally be “passive” income for purposes of computing the foreign tax credit allowable to a U.S holder. However, if (a) SpinCo is 50% or more owned, by vote or value, by United States persons and (b) at least 10% of SpinCo’s earnings and profits are attributable to sources within the United States, then for foreign tax credit purposes, a portion of SpinCo’s dividends would be treated as derived from sources within the United States. With respect to any dividend paid for any taxable year, the United States source ratio of SpinCo’s dividends for foreign tax credit purposes would be equal to the portion of SpinCo’s earnings and profits from sources within the United States for such taxable year, divided by the total amount of SpinCo’s earnings and profits for such taxable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 U.S. holder sells or otherwise disposes of SpinCo common shares, the holder will recognize capital gain or loss for U.S. federal income tax purposes equal to the difference between the U.S. dollar value of the amount that the holder realizes and the holder’s tax basis, determined in U.S. dollars, in the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2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PFIC Considerations. </w:t>
      </w:r>
      <w:r>
        <w:rPr>
          <w:rFonts w:ascii="Times New Roman" w:cs="Times New Roman" w:eastAsia="Times New Roman" w:hAnsi="Times New Roman"/>
          <w:sz w:val="18"/>
          <w:szCs w:val="18"/>
          <w:color w:val="auto"/>
        </w:rPr>
        <w:t>SpinCo believes that SpinCo common shares should not currently be stock of a PFIC for U.S. federal income tax purposes and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expect to become a PFIC in the foreseeable future. However, the determination of</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01" w:right="339" w:bottom="1440" w:gutter="0" w:footer="0" w:header="0"/>
        </w:sectPr>
      </w:pPr>
    </w:p>
    <w:bookmarkStart w:id="83" w:name="page84"/>
    <w:bookmarkEnd w:id="83"/>
    <w:p>
      <w:pPr>
        <w:spacing w:after="0" w:line="252" w:lineRule="auto"/>
        <w:rPr>
          <w:sz w:val="20"/>
          <w:szCs w:val="20"/>
          <w:color w:val="auto"/>
        </w:rPr>
      </w:pPr>
      <w:r>
        <w:rPr>
          <w:rFonts w:ascii="Times New Roman" w:cs="Times New Roman" w:eastAsia="Times New Roman" w:hAnsi="Times New Roman"/>
          <w:sz w:val="18"/>
          <w:szCs w:val="18"/>
          <w:color w:val="auto"/>
        </w:rPr>
        <w:t>whether SpinCo is a PFIC is a fact-intensive determination made on an annual basis applying principles and methodologies which in some circumstances are unclear and subject to varying interpretation. In particular, the determination of whether we are a PFIC and the characterization of SpinCo’s assets as active or passive may depend in part on (i) its current and intended future business plans which are subject to change, (ii) the application of certain “look-through” rules and (iii) the applicability of the “start-up exception.” Under the start-up exception, a foreign corporation that would otherwise be treated as a PFIC will not be a PFIC for the first taxable year the corporation has gross income (the “start-up year”), if: (A) no predecessor of the corporation was a PFIC; (B) the corporation satisfies the IRS that it will not be a PFIC for either of the first two taxable years following the start-up year; and (C) the corporation is not in fact a PFIC for either of those years. The applicability of the startup exception to SpinCo is uncertain and will not be known until after the end of the two taxable years following such startup year. In addition, for SpinCo’s current and future taxable years, the total value of its assets for PFIC testing purposes may fluctuate considerably from time to time, and is dependent on the application (which inherently involves an element of judgment) of the relevant valuation assumptions and methodologies. Under the income test, SpinCo’s status as a PFIC depends on the composition of SpinCo’s income which, in SpinCo’s current and future taxable years, SpinCo may not be able to fully control, for example, with respect to income attributed to SpinCo from entities owned 25% or more by SpinCo. The composition of SpinCo’s income and assets is also affected by how, and how quickly, SpinCo spends the cash it raises in any offering. Therefore, SpinCo cannot provide any assurance regarding its PFIC status for any past, current or future taxable years. If SpinCo’s determination was incorrect and SpinCo common shares were treated as shares of a PFIC, the tax consequences of owning SpinCo shares would generally be the same as those described above under “—Consequences of the Distribution—U.S. Holders—PFIC Considerations.”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a U.S. holder of shares in a PFIC may alleviate some of the adverse tax consequences described above by making a QEF election to include in income its pro rata share of the corporation’s income on a current basis. However, a U.S. holder may make a QEF election with respect to our common shares only if we agree to furnish such U.S. holder annually with a PFIC annual information statement as specified in the applicable U.S. Treasury Regulations. We currently do not intend to prepare or provide the information that would enable U.S. holders to make a QEF election if we are treated as a PFIC for any taxable year, and U.S. holders of SpinCo common shares should assume that a QEF election will not be available.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U.S. holder owns shares during any year that SpinCo is a PFIC with respect to the holder, the holder may be required to file IRS Form 8621.</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as to the application of the PFIC rules in the event that their SpinCo common shares were treated as stock of a PFIC.</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 ASSURANCE CAN BE GIVEN REGARDING SPINCO’S PFIC STATUS FOR ANY CURRENT OR FUTURE TAXABLE YEARS. U.S. HOLDERS SHOULD CONSULT THEIR OWN TAX ADVISORS WITH RESPECT TO THE OPERATION OF THE PFIC RULES AND RELATED REPORTING REQUIREMENTS IN LIGHT OF THEIR PARTICULAR CIRCUMSTANCES, INCLUDING THE ADVISABILITY OF MAKING ANY ELECTION THAT MAY BE AVAILABLE.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Reporting.</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Dividends paid to a non-U.S. holder in respect of SpinCo common shares will not be subject to U.S. federal income tax unless the dividends are “effectively connected” with the holder’s conduct of a trade or business within the United States, and the dividends are attributable to a permanent establishment that the holder maintains in the United States if that is required by an applicable income tax treaty as a condition for subjecting the holder to United States taxation on a net income basis. In such cases, the holder generally will be taxed in the same manner as a U.S. holder. For a corporate non-U.S. holder,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1201" w:right="359" w:bottom="1440" w:gutter="0" w:footer="0" w:header="0"/>
        </w:sectPr>
      </w:pPr>
    </w:p>
    <w:bookmarkStart w:id="84" w:name="page85"/>
    <w:bookmarkEnd w:id="84"/>
    <w:p>
      <w:pPr>
        <w:ind w:right="200"/>
        <w:spacing w:after="0" w:line="282" w:lineRule="auto"/>
        <w:rPr>
          <w:sz w:val="20"/>
          <w:szCs w:val="20"/>
          <w:color w:val="auto"/>
        </w:rPr>
      </w:pPr>
      <w:r>
        <w:rPr>
          <w:rFonts w:ascii="Times New Roman" w:cs="Times New Roman" w:eastAsia="Times New Roman" w:hAnsi="Times New Roman"/>
          <w:sz w:val="18"/>
          <w:szCs w:val="18"/>
          <w:color w:val="auto"/>
        </w:rPr>
        <w:t>“effectively connected” dividends may, under certain circumstances, be subject to an additional “branch profits tax” at a 30% rate or at a lower rate if the holder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will not be subject to U.S. federal income tax on gain recognized on the sale or other disposition of SpinCo common shares unless:</w:t>
      </w:r>
    </w:p>
    <w:p>
      <w:pPr>
        <w:spacing w:after="0" w:line="171" w:lineRule="exact"/>
        <w:rPr>
          <w:sz w:val="20"/>
          <w:szCs w:val="20"/>
          <w:color w:val="auto"/>
        </w:rPr>
      </w:pPr>
    </w:p>
    <w:p>
      <w:pPr>
        <w:ind w:left="660" w:right="60" w:hanging="328"/>
        <w:spacing w:after="0" w:line="26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holder’s conduct of a trade or business in the United States, and the gain is attributable to a permanent establishment that the holder maintains in the United States if that is required by an applicable income tax treaty as a condition for subjecting the holder to United States taxation on a net income basis;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an individual, is present in the United States for 183 or more days in the taxable year of the sale and certain other conditions exist.</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a corporate non-U.S. holder, “effectively connected” gains that the holder recognizes may also, under certain circumstances, be subject to an additional “branch profits tax” at a 30% rate or at a lower rate if the holder is eligible for the benefits of an income tax treaty that provides for a lower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a noncorporate U.S. holder, information reporting requirements, on IRS Form 1099, generally will apply to dividend payments or other taxable distributions made to the holder within the United States, and the payment of proceeds to the holder from the sale of SpinCo common shares effected at a United States office of a broker. Additionally, backup withholding may apply to such payments if the holder fails to comply with applicable certification requirements or (in the case of dividend payments) is notified by the IRS that the holder has failed to report all interest and dividends required to be shown on the holder’s federal income tax returns.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non-U.S. holder is generally exempt from backup withholding and information reporting requirements with respect to dividend payments made to the holder outside the United States by SpinCo or another non-United States payor. The non-U.S. holder is also generally exempt from backup withholding and information reporting requirements in respect of dividend payments made within the United States and the payment of the proceeds from the sale of shares effected at a United States office of a broker, as long as either (i) the non-U.S. holder has furnished a valid IRS Form W-8 or other documentation upon which the payor or broker may rely to treat the payments as made to a non-United States person, or (ii) the non-U.S. holder otherwise establishes an exemption.</w:t>
      </w:r>
    </w:p>
    <w:p>
      <w:pPr>
        <w:spacing w:after="0" w:line="13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person generally may obtain a refund of any amounts withheld under the backup withholding rules that exceed the person’s income tax liability by filing a refund claim with the IRS.</w:t>
      </w:r>
    </w:p>
    <w:p>
      <w:pPr>
        <w:spacing w:after="0" w:line="104"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EACH REMAINCO SHAREHOLDER SHOULD CONSULT ITS TAX ADVISOR ABOUT THE PARTICULAR CONSEQUENCES OF THE DISTRIBUTION TO SUCH SHAREHOLDER, INCLUDING THE APPLICATION OF STATE, LOCAL AND FOREIGN TAX LAWS, AND POSSIBLE CHANGES IN TAX LAW THAT MAY AFFECT THE TAX CONSEQUENCES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Trading of Our Common Shares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is not currently a public market for our common shares. We will apply for our common shares to be listed on NYSE under the symbol “BHVN.” Assuming that such listing application is approved, it is anticipated that trading will commence on a when-issued basis on or shortly before the record date. On the first trading day following the Distribution date, when-issued trading in our common shares will end and regular-way trading will begin. “When-issued trading” refers to trading which occurs before a security is actually issued. These transactions are conditional with settlement to occur if and when the security is actually issued and NYSE determines transactions are to be settled. “Regular-way trading” refers 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20" w:top="120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normal trading transactions which are settled by delivery of the securities against payment on the second business day after the transaction.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Beginning on September 23, 2022, and continuing until the occurrence of the Distribution on the Distribution date, RemainCo common shares will trade with an entitlement to the Distribution under the symbol “BHVN”. Any holders of RemainCo common shares who sell shares on or before the Distribution date will also be selling their right to receive SpinCo common shares. Investors are encouraged to consult with their financial advisors regarding the specific implications of buying or selling RemainCo common shares on or before the Distribution date.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assure you as to the price at which our common shares will trade before, on or after the Distribution date. Particularly until our common shares are fully distributed and an orderly market develops in our common shares, the price at which such shares trades may fluctuate significantly. In addition, the combined trading prices of our common shares and RemainCo common shares held by shareholders after the Distribution may be less than, equal to, or greater than the trading price of the RemainCo common shares prior to the Distribution.</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common shares distributed to RemainCo shareholders will be freely transferable, except for shares received by people who may be considered affiliates with us or shares subject to contractual restrictions. People who may be considered our affiliates after the Distribution generally include individuals or entities that control, are controlled by, or are under common control with us. This may include certain of our officers, directors and significant shareholders. Persons who are our affiliates will be permitted to sell their shares only pursuant to an effective registration statement under the Securities Act, or an exemption from the registration requirements of the Securities Act, or in compliance with Rule 144 under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Furnishing This Information Statement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furnished by RemainCo solely to provide information to shareholders of RemainCo who will receive our common shares in the Distribution. It is not, and is not to be construed as, an inducement or encouragement to buy or sell any of our securities. We and RemainCo will not update the information in this information statement except in the normal course of our and RemainCo’s respective public disclosure obligations and practices.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80"/>
          </w:cols>
          <w:pgMar w:left="320" w:top="1201" w:right="39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were incorporated on May 2, 2022 as a direct, wholly-owned subsidiary of RemainCo. SpinCo will acquire certain corporate infrastructure and other assets and liabilities described in this information statement, through a series of restructuring transactions to be effected by RemainCo prior to the Distribution. Where we describe historical business activities in this information statement, we do so as if these transfers had already occurred, and RemainCo’s activities related to such assets and liabilities had been performed by SpinCo.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discovering and developing innovative therapies to improve the lives of patients with debilitating neurological and neuropsychiatric diseases. Our experienced management team brings with it a proven track record of delivering new drug approvals for products for diseases such as migraine and schizophrenia, and our research programs, built on a deep understanding of disease-related biology and neuropharmacology, are advancing novel therapies with indications in SCA, ALS, SMA, epilepsy, depression, OCD and neuropathic pain. Our Neuroinnovation portfolio includes a broad pipeline of drug candidates modulating distinct central nervous system targets, including Kv7 ion channels, glutamate receptors, MPO, myostatin, and TRP channels. With at least five clinical trials currently underway or expected to start by the end of 2022, our highly experienced team of neuroscience drug developers are combining a nimble, results-driven biotech mindset with deep capabilities in drug discovery and development to meet the needs of patients with diseases of the nervous system.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some of our key clinical programs in addition to upcoming clinical development milestones for our product candidates. We hold the worldwide rights to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80010</wp:posOffset>
            </wp:positionV>
            <wp:extent cx="5760720" cy="1354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576072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Kv7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Kv7 Platform Acquisition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February 2022, we announced that we entered into a definitive agreement with Channel Biosciences, LLC, a subsidiary of Knopp Biosciences, LLC, to acquire a drug discovery platform targeting Kv7 ion channels, adding the latest advances in ion channel modulation to our growing neuroscience portfolio. BHV-7000 (formerly known as KB-3061), the lead asset from the Kv7 platform is an activator of Kv7.2/Kv7.3, a key ion channel involved in neuronal signaling and in regulating the hyperexcitable state in epilepsy. In the second quarter of 2022, our Clinical Trial Application for BHV-7000 was approved by Health Canada, and we subsequently began clinical development. The Company is evaluating and has not yet finalized potential clinical trial designs, including trial size, and primary and secondary endpoints.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Kv7’s Role in Epilepsy and Other Central Nervous System Disorders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Epilepsy</w:t>
      </w:r>
    </w:p>
    <w:p>
      <w:pPr>
        <w:spacing w:after="0" w:line="17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Because of their fundamental role in health and their aberrant role in disease, ion channels in cell membranes represent a broad and important class of drug targets. Sodium channels and potassium channels form the ionic basis of the action potential in electrically charged cells throughout the body (see figures below). The Kv7 protein in particular forms a channel that exquisitely regulates the flow of charged potassium ions (K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across cell membranes, repolarizing nerve cells and resetting them for normal action potential firing. Kv7 channels include a family of channel subtypes, designated as Kv7.1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51" w:right="339" w:bottom="1440" w:gutter="0" w:footer="0" w:header="0"/>
        </w:sectPr>
      </w:pPr>
    </w:p>
    <w:bookmarkStart w:id="87" w:name="page88"/>
    <w:bookmarkEnd w:id="87"/>
    <w:p>
      <w:pPr>
        <w:ind w:right="440"/>
        <w:spacing w:after="0" w:line="282" w:lineRule="auto"/>
        <w:rPr>
          <w:sz w:val="20"/>
          <w:szCs w:val="20"/>
          <w:color w:val="auto"/>
        </w:rPr>
      </w:pPr>
      <w:r>
        <w:rPr>
          <w:rFonts w:ascii="Times New Roman" w:cs="Times New Roman" w:eastAsia="Times New Roman" w:hAnsi="Times New Roman"/>
          <w:sz w:val="18"/>
          <w:szCs w:val="18"/>
          <w:color w:val="auto"/>
        </w:rPr>
        <w:t>through Kv7.5, and they are formed by tetramers of identical or compatible subunits. Some of these channel subtypes localize in nerve cells (neurons) while others can be found in cardiac muscle, smooth muscle, and other tissue types.</w:t>
      </w:r>
    </w:p>
    <w:p>
      <w:pPr>
        <w:spacing w:after="0" w:line="10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The Kv7 subunits, Kv7.2 and Kv7.3, are widely expressed in the brain, notably in the cortex and hippocampus, and together they form Kv7.2/7.3 heteromeric channels that produce the M-current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23"/>
          <w:szCs w:val="23"/>
          <w:color w:val="auto"/>
          <w:vertAlign w:val="subscript"/>
        </w:rPr>
        <w:t>KM</w:t>
      </w:r>
      <w:r>
        <w:rPr>
          <w:rFonts w:ascii="Times New Roman" w:cs="Times New Roman" w:eastAsia="Times New Roman" w:hAnsi="Times New Roman"/>
          <w:sz w:val="18"/>
          <w:szCs w:val="18"/>
          <w:color w:val="auto"/>
        </w:rPr>
        <w:t>), a critical regulator of neuronal excitability (see figures below). Kv7.2/7.3 channels normally perform a natural “braking” function by regulating the electrical excitability and hyperexcitability of brain cells. Dysfunction of these channels, due to genetic mutations or other factors, increases seizure risk, while augmenting the ‘open’ activity of these channels has been demonstrated to reduce neuronal hyperexcitability and seizure frequency in electrophysiology laboratories, in animal models, and, most importantly,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223635" cy="2074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622363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White, Role of Potassium Channel Ions in Epilepsy, Medscape.org</w:t>
      </w:r>
    </w:p>
    <w:p>
      <w:pPr>
        <w:spacing w:after="0" w:line="289" w:lineRule="exact"/>
        <w:rPr>
          <w:sz w:val="20"/>
          <w:szCs w:val="20"/>
          <w:color w:val="auto"/>
        </w:rPr>
      </w:pPr>
    </w:p>
    <w:p>
      <w:pPr>
        <w:ind w:right="480"/>
        <w:spacing w:after="0" w:line="241" w:lineRule="auto"/>
        <w:rPr>
          <w:sz w:val="20"/>
          <w:szCs w:val="20"/>
          <w:color w:val="auto"/>
        </w:rPr>
      </w:pPr>
      <w:r>
        <w:rPr>
          <w:rFonts w:ascii="Times New Roman" w:cs="Times New Roman" w:eastAsia="Times New Roman" w:hAnsi="Times New Roman"/>
          <w:sz w:val="18"/>
          <w:szCs w:val="18"/>
          <w:color w:val="auto"/>
        </w:rPr>
        <w:t>We are synthesizing novel Kv7.2/7.3 activators that improve on the selectivity, potency, and other characteristics of ezogabine (Potiga in the U.S. and Trobalt (retigabine) in Europe), a drug approved in 2011 for the treatment of refractory epilepsy and voluntarily withdrawn from the market in 2017 because of poor tolerability and structure-related toxicities that limited its use, and ezogabine-like compounds while averting its negative attributes, including off-target activity at a different brain ion channel, gamma-aminobutyric acid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-R”).</w:t>
      </w:r>
    </w:p>
    <w:p>
      <w:pPr>
        <w:spacing w:after="0" w:line="13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 xml:space="preserve">Using a structure-based approach, supplemented by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modeling, we have identified structural features of our molecules critical to Kv7 activation. We have applied these analyses to the generation of proprietary chemical leads structurally distinct from known Kv7 activators, including ezogabine and flupirtine, the only other approved Kv7 modulator, approved in Europe for the treatment of acute pain. Our team has synthesized a large library of Kv7-activating molecules and are advancing them according to stringent criteria requiring improvements over ezogabine, including chemical stability, synthetic tractability, the avoidance of structural motifs associated with the generation of reactive metabolites and other unwanted, off-target activity, including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-R activation.</w:t>
      </w:r>
    </w:p>
    <w:p>
      <w:pPr>
        <w:spacing w:after="0" w:line="13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Epilepsy is the initial disease we are targeting with activators from our Kv7 platform. Epilepsy affects approximately 3.5 million Americans, or more than 1.2% of adults and 0.6% of children in the U.S., and more than 50 million patients worldwide, according to the World Health Organization (“WHO”). It is the fourth most common neurological disorder, and many patients struggle to achieve freedom from seizures, with more than one third of patients requiring two or more medications to manage their epilepsy. While the use of anti-seizure medications is often accompanied by dose-limiting side effects, our clinical candidate BHV-7000 is specifically designed to target subtypes of Kv7 potassium channels without engagement of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The lack of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-R activity potentially gives BHV-7000 a wide therapeutic window and is expected to result in an improved side effect profile, limiting the somnolence and fatigue often seen in patients receiving anti-seizure medications. By adding BHV-7000 to our pipeline, we aim to bring this potassium channel modulator as a potential solution to patients with epilepsy who remain uncontrolled on their current regimens.</w:t>
      </w:r>
    </w:p>
    <w:p>
      <w:pPr>
        <w:spacing w:after="0" w:line="14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BHV-7000 is a Kv7.2/7.3 channel activator from a novel, bicyclic imidazole class with significant in vivo anticonvulsant activity and a wide therapeutic index. In the most widely used and positively-predictive preclinical model of epilepsy, the maximal electroshock (“MES”) model, data for BHV-7000 and ezogabine were collected in independent experiments (see figures below), measuring the activity of both compounds in preventing seizures (ED</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and recording the neurologic deficit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01" w:right="339" w:bottom="1440" w:gutter="0" w:footer="0" w:header="0"/>
        </w:sectPr>
      </w:pPr>
    </w:p>
    <w:bookmarkStart w:id="88" w:name="page89"/>
    <w:bookmarkEnd w:id="88"/>
    <w:p>
      <w:pPr>
        <w:spacing w:after="0" w:line="229" w:lineRule="auto"/>
        <w:rPr>
          <w:sz w:val="20"/>
          <w:szCs w:val="20"/>
          <w:color w:val="auto"/>
        </w:rPr>
      </w:pPr>
      <w:r>
        <w:rPr>
          <w:rFonts w:ascii="Times New Roman" w:cs="Times New Roman" w:eastAsia="Times New Roman" w:hAnsi="Times New Roman"/>
          <w:sz w:val="18"/>
          <w:szCs w:val="18"/>
          <w:color w:val="auto"/>
        </w:rPr>
        <w:t>five minutes prior to the MES test to calculate the tolerability index (“TI”). The neurologic deficit is a behavioral index ranging from normal activity (score of 0) to a loss of righting reflex (score of 3). As shown below, BHV-7000 was demonstrated to have an ED</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 0.5 mg/kg with almost no impact on behavior producing a TI &gt; 40x. In contrast, ezogabine was 40x less potent (ED</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 20 mg/kg) in the MES model with a narrow TI &lt; 3x. The narrow preclinical TI for ezogabine is consistent with the clinical experience with the drug where side effects such as somnolence and dizziness limited its use at doses that prevented seizures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103505</wp:posOffset>
            </wp:positionV>
            <wp:extent cx="5760720" cy="2031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576072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KCNQ2 Epileptic Encephalopathy</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KCNQ2 epileptic encephalopathy (“KCNQ2-EE”) is a rare pediatric epileptic encephalopathy first described in 2012 resulting from dominant-negative mutations in the KCNQ2 gene. Epileptic encephalopathies (“EE”) comprise a group of epilepsy syndromes in which onset of recurrent and medically refractory seizures are associated with cognitive and broader developmental delay or regression. Early infantile epileptic encephalopathy, also called Ohtahara syndrome, and early myoclonic encephalopathy are the earliest-presenting of these age-dependent syndromes, clinically defined by onset within the first three months after birth. Although only recently described, heterozygous de novo variants in KCNQ2 are a highly validated cause of early onset epileptic encephalopathy, and KCNQ2-EE has emerged as a well-defined clinical entity with a characteristic neonatal presentation, including hypotonia, treatment-resistant tonic seizures, a profoundly abnormal interictal electroencephalogram (“EEG”) with prominent burst-suppression, and most often with moderate-to-profound global developmental delay, resulting from a defined subset of missense variants in the gene. KCNQ2-EE is thus both a seizure disorder and a developmental disorder caused by pathogenic, dominant-negative KCNQ2 mutations.</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Identification of genetic etiologies has created the opportunity to treat not just the symptoms of KCNQ2-EE, including seizures, but also the underlying causes, including attenuating or reversing the effects of the dominant-negative variants responsible for KCNQ2-EE. Developmental delay is an intractable feature of KCNQ2-EE even though seizure frequency tends to diminish after infancy and EEG organization tends to improve. Importantly, limited clinical evidence, including a case series of four infants with KCNQ2-EE, suggests that pharmacological augmentation of reduced Kv7.2 channel current with ezogabine reduces seizures and may improve developmental milestone attainment.</w:t>
      </w:r>
    </w:p>
    <w:p>
      <w:pPr>
        <w:spacing w:after="0" w:line="12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 xml:space="preserve">Severe pathogenic KCNQ2 mutations disrupt the function of the KCNQ2 gene product, Kv7.2, a voltage-gated potassium channel subunit which, in addition to being a critical regulator of neuronal excitability, plays a fundamental role in early brain development. Kv7.2 polypeptides are co-assembled in either homotetrameric channels, or, in combination with Kv7.3 subunits, to form heterotetrameric channels. Both subunit configurations contribute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23"/>
          <w:szCs w:val="23"/>
          <w:color w:val="auto"/>
          <w:vertAlign w:val="subscript"/>
        </w:rPr>
        <w:t>KM</w:t>
      </w:r>
      <w:r>
        <w:rPr>
          <w:rFonts w:ascii="Times New Roman" w:cs="Times New Roman" w:eastAsia="Times New Roman" w:hAnsi="Times New Roman"/>
          <w:sz w:val="18"/>
          <w:szCs w:val="18"/>
          <w:color w:val="auto"/>
        </w:rPr>
        <w:t>. Significant reduction of Kv7.2/7.2 activity or Kv7.2/7.3 activity with loss of 50% of more of current density through these channels abrogate these functions, leading to neuronal hyperexcitability and impaired brain development.</w:t>
      </w:r>
    </w:p>
    <w:p>
      <w:pPr>
        <w:spacing w:after="0" w:line="14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its activity in the MES model, we explored the ability of BHV-7000 to reverse the reduced current density associated with KCNQ2-EE and support its use as potential treatment for the disease. Most encephalopathy-associated pathogenic KCNQ2 variants identified to date disrupt channel function in any of four distinct “hot spots” of the protein,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00"/>
          </w:cols>
          <w:pgMar w:left="320" w:top="120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including the S4 voltage sensor, the ion channel pore, and the proximal and distal regions of the C-terminal domain (see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137160</wp:posOffset>
            </wp:positionV>
            <wp:extent cx="3000375" cy="2280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300037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Millichap, Neurol Genet (2016)</w:t>
      </w: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determine the effects of BHV-7000 on the function of Kv7.2 and Kv7.2/7.3 channels poisoned by dominant-negative KCNQ2 mutations, four highly recurrent human missense variants representative of the “hot spot” domains were introduced into KCNQ2 cDNA by site-directed mutagenesis. Using lipid-mediated transfection, plasmids including the pathogenic variants were co-expressed with wild-type (“wt”) KCNQ2 subunits or wt KCNQ2 and wt KCNQ3 subunits in Chinese hamster ovary (“CHO”) cells.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figure below shows the effects of BHV-7000 on current density of wt/wt Kv7.2 channels and those formed by 1:1 coexpression of wt KCNQ2 genes with either of two KCNQ2 pore domain variants (T274M, A294V), a C-terminal variant (R581L), or a voltage-sensing variant (R210H). In the control condition, all pathogenic variants produced a marked reduction in current density to below wt/wt levels. BHV-7000 at 0.3µM restored current density in mutated pore and C-terminal channels to or beyond wt control current density (**&lt;0.01). Similarly, application of BHV-7000 at 1 µM restores function to mutated channels expressing the R210H KCNQ2 S4 voltage sensor domain pathogenic variant in the heterotetrameric (wt/R210H) configuration, to above wt/wt levels of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96520</wp:posOffset>
            </wp:positionV>
            <wp:extent cx="3000375" cy="1971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300037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BHV-7000 has been granted Rare Pediatric Disease Designation by the FDA for the treatment of KCNQ2-EE.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Neuropathic Pain</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Neuropathic pain, as defined by the International Association for the Study of Pain, is pain caused by a lesion or disease of the somatosensory nervous system and includes a collection of heterogeneous conditions that are often chronic and</w:t>
      </w:r>
    </w:p>
    <w:p>
      <w:pPr>
        <w:sectPr>
          <w:pgSz w:w="11900" w:h="16838" w:orient="portrait"/>
          <w:cols w:equalWidth="0" w:num="1">
            <w:col w:w="11200"/>
          </w:cols>
          <w:pgMar w:left="320" w:top="12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00"/>
          </w:cols>
          <w:pgMar w:left="320" w:top="1201" w:right="379" w:bottom="1440" w:gutter="0" w:footer="0" w:header="0"/>
          <w:type w:val="continuous"/>
        </w:sectPr>
      </w:pPr>
    </w:p>
    <w:bookmarkStart w:id="90" w:name="page91"/>
    <w:bookmarkEnd w:id="90"/>
    <w:p>
      <w:pPr>
        <w:ind w:right="120"/>
        <w:spacing w:after="0" w:line="258" w:lineRule="auto"/>
        <w:rPr>
          <w:sz w:val="20"/>
          <w:szCs w:val="20"/>
          <w:color w:val="auto"/>
        </w:rPr>
      </w:pPr>
      <w:r>
        <w:rPr>
          <w:rFonts w:ascii="Times New Roman" w:cs="Times New Roman" w:eastAsia="Times New Roman" w:hAnsi="Times New Roman"/>
          <w:sz w:val="18"/>
          <w:szCs w:val="18"/>
          <w:color w:val="auto"/>
        </w:rPr>
        <w:t>debilitating and for which long term therapy is difficult. In the United States, over 30 million adults are estimated to be living with neuropathic pain. Pharmacological treatments for neuropathic pain vary according to patient needs, although recommendations such as the WHO analgesic ladder, United States Centers for Disease Control (“CDC”), and FDA guidelines are in use. Initial or first line treatment for neuropathic pain includes non-opioid analgesics, in particular, antidepressants, anticonvulsants, steroids, and anxiolytics. Second line treatment of persistent, severe pain may require escalation to opiates, often less potent ones at first, followed by more potent opiates for intense refractory pain.</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Thus, an urgent need exists for effective, non-addictive pain therapies. Flupirtine, a non-selective Kv7 activator, was previously approved in several European countries and indicated for the treatment of pain. However, the European Medicines Agency recommended withdrawal of its marketing authorization in 2018 because of the risk of serious liver injury. Selective Kv7 potassium channel activators represent a new approach in the development of non-opioid therapeutic options for neuropathic pain. In addition to leveraging reduced abuse and addiction risk potential of potassium channel activators, our Kv7 potassium channel platform addresses the complexities of channel subtype physiology through targeted pharmacology to overcome the limitations inherent in unbiased Kv7 activators and is intended to deliver a well-tolerated, highly effective, non-opioid treatment for neuropathic pain.</w:t>
      </w:r>
    </w:p>
    <w:p>
      <w:pPr>
        <w:spacing w:after="0" w:line="1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Kv7 program research was supported in part with funding from the National Institutes of Health (“NIH”) to advance the development of novel Kv7 non-opioid therapies for the treatment of chronic pain. The NIH funding is by the NIH Helping to End Addiction Long-term Initiative (“NIH HEAL Initiative”), which aims to improve treatments for chronic pain, curb the rates of opioid use disorder and overdose, and achieve long-term recovery from opioid addiction.The goal of our Kv7 program is to discover a small-molecule activator of the Kv7.2/7.3 voltage-gated potassium channel to treat neuropathic pain. Similar to our epilepsy program, we are targeting compounds with these characteristics:</w:t>
      </w:r>
    </w:p>
    <w:p>
      <w:pPr>
        <w:spacing w:after="0" w:line="129"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Biased for Kv7.2/3 activation vs. Kv7.4 activation to minimize potential adverse smooth muscle effects</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against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to minimize potential tolerability issues</w:t>
      </w:r>
    </w:p>
    <w:p>
      <w:pPr>
        <w:spacing w:after="0" w:line="17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against Kv7.1/KCNE1 (IKs) and hERG (IKr) to minimize cardiac side-effects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 and effective across animal models of neuropathic pain</w:t>
      </w:r>
    </w:p>
    <w:p>
      <w:pPr>
        <w:spacing w:after="0" w:line="10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A fundamental program hypothesis is that creating Kv7.2/3 activators with minimal activation of Kv7.4 and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will greatly improve the tolerability profile of a successful candidate compound. Ezogabine has known effects on the GABA system, both directly as a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positive allosteric modulator, and indirectly by affecting GABA synthesis or metabolism, a pharmacology consistent with the dose-related increases in somnolence and dizziness reported in ezogabine clinical trials. Our program is directed to reducing this potential source of poor tolerability by selecting compounds with no or minimal activity for the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Axonal excitability and neurotransmitter release are altered in neuropathic pain due to sodium channel plasticity, increased voltage-gated calcium channels in the spinal cord, and diminished potassium channel activity in dorsal root ganglion (“DRG”) neurons. These changes in ion channel number, distribution, and function are common to many neuropathic pain subtypes. The functional density of Kv7.2/3 channels is a key variable governing sensory DRG control of intrinsic excitability. There are some reports that demonstrate downregulation of Kv7 potassium channel mRNA, protein and function in experimental neuropathic pain models.</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Using human induced pluripotent stem cell (“iPSC”)-derived DRG sensory neurons, we have assessed the physiological activity of these neurons by modulating Kv7 channels across three electrophysiologic parameters: resting membrane potential (Vm), rheobase = the current required to stimulate an action potential (“AP”), and the number of APs elicited by a suprathreshold stimulus (3x rheobase). We are currently evaluating the activity of various compounds from our proprietary series of selective Kv7.2/7.3 activators in multiple preclinical models of neuropathic pain.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Mood disorders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1 in 5 adults in the U.S. are living with neuropsychiatric illnesses that are, in turn, associated with inadequate treatment, poor quality of life, disability, and considerable direct and indirect costs. There is significant unmet need for novel and effective therapeutic options that are not limited by long latency periods to clinical effects, low response rates, and significant risks and side effects. Increasing evidence from animal models and clinical trials now suggests that Kv7.2/7.3 targeting drugs offer the potential to treat a spectrum of these neuropsychiatric diseases including, but not limited to, mood disorders such as major depressive disorder, bipolar disorder and anxiety.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20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Our Glutamate Platform</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most advanced product candidate from our glutamate receptor antagonist platform is troriluzole (previously referred to as trigriluzole and BHV-4157), which is in two Phase 3 trials in OCD. Other product candidates include BHV-5500, which is an antagonist of the glutamate N-methyl-D-aspartate (“NMDA”) receptor.</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Glutamate is an important neurotransmitter present in over 90% of all brain synapses. Glutamate plays an essential role in normal brain functioning and its levels must be tightly regulated. Abnormalities in glutamate levels function can disrupt nerve health and communication, and in extreme cases may lead to nerve cell death. Nerve cell dysfunction and death leads to devastating diseases, including ataxia, amyotrophic lateral sclerosis (“ALS”) and other neurodegenerative disorders. Glutamate clearance is necessary for proper synaptic activation and to prevent neuronal damage from excessive activation of glutamate receptors. Excitatory amino-acid transporters (“EAATs”) help regulate glutamate clearance, and are responsible for most of the glutamate uptake within the brain.</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mechanism of action of our glutamate platform is depicted below. Glutamate must be tightly regulated once released from a pre-synaptic neuron and acts as a signaling neurotransmitter to stimulate the post-synaptic neuron via glutamate receptors (e.g., N-methyl-D-aspartate (“NMDA”), alpha-amino-3-hydroxy-5-methyl-4-isoxazole-propionic acid (“AMPA”) or Kainate receptors). Glial cells surrounding the synaptic junction are predominantly responsible for clearing glutamate through transporters, the EAATs. There are five distinct types of glutamate transporters. The figure below depicts the areas of modulation that are affected by our product candidates. (1) As depicted in the glial cell to the right in the figure below, troriluzole increases the activity and expression of the EAATs to increase the clearance of glutamate released from the pre-synaptic neuron. Troriluzole also inhibits presynaptic ion channels that may inhibit the release of glutamate from presynaptic neurons. (2) As depicted in the postsynaptic neuron to the bottom of the figure below, BHV-5500 blocks glutamate signaling that is mediated by post-synaptic NMDA receptors. Modulating glutamate also has the potential to be neuroprotective and increase the release of neurotrophic factors, including brain derived neurotrophic factor (“BDNF”) which are endogenous molecules that help to support the survival of existing neurons, and encourage the growth and differentiation of new neurons and synapses.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134620</wp:posOffset>
            </wp:positionV>
            <wp:extent cx="4894580" cy="267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489458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60" w:right="2640"/>
        <w:spacing w:after="0" w:line="264" w:lineRule="auto"/>
        <w:rPr>
          <w:sz w:val="20"/>
          <w:szCs w:val="20"/>
          <w:color w:val="auto"/>
        </w:rPr>
      </w:pPr>
      <w:r>
        <w:rPr>
          <w:rFonts w:ascii="Times New Roman" w:cs="Times New Roman" w:eastAsia="Times New Roman" w:hAnsi="Times New Roman"/>
          <w:sz w:val="14"/>
          <w:szCs w:val="14"/>
          <w:color w:val="auto"/>
        </w:rPr>
        <w:t xml:space="preserve">Adapted from </w:t>
      </w:r>
      <w:r>
        <w:rPr>
          <w:rFonts w:ascii="Times New Roman" w:cs="Times New Roman" w:eastAsia="Times New Roman" w:hAnsi="Times New Roman"/>
          <w:sz w:val="14"/>
          <w:szCs w:val="14"/>
          <w:i w:val="1"/>
          <w:iCs w:val="1"/>
          <w:color w:val="auto"/>
        </w:rPr>
        <w:t>Glutamate abnormalities in obsessive compulsive disorder: Neurobiology, pathophysiology, and treatment,</w:t>
      </w:r>
      <w:r>
        <w:rPr>
          <w:rFonts w:ascii="Times New Roman" w:cs="Times New Roman" w:eastAsia="Times New Roman" w:hAnsi="Times New Roman"/>
          <w:sz w:val="14"/>
          <w:szCs w:val="14"/>
          <w:color w:val="auto"/>
        </w:rPr>
        <w:t xml:space="preserve"> C. Pittenger, M. Bloch, and K. Williams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Glutamate Transporter Modulation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Abnormal glutamate release or dysfunction of glutamate clearance can cause overstimulation of glutamate receptors which can lead to a dangerous neural injury called excitotoxicity, which has been associated with a wide range of neurodegenerative diseases. The FDA has approved anti-excitotoxicity drugs that act on the glutamatergic system by blocking NMDA receptors, such as memantine (“Namenda”) for Alzheimer’s disease, lamotrigine (“Lamictal”) for epilepsy and bipolar disorder and riluzole (“Rilutek”) for ALS. Although these drugs show the therapeutic potential of glutamate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97" w:right="339" w:bottom="1440" w:gutter="0" w:footer="0" w:header="0"/>
        </w:sectPr>
      </w:pPr>
    </w:p>
    <w:bookmarkStart w:id="92" w:name="page93"/>
    <w:bookmarkEnd w:id="92"/>
    <w:p>
      <w:pPr>
        <w:spacing w:after="0" w:line="282" w:lineRule="auto"/>
        <w:rPr>
          <w:sz w:val="20"/>
          <w:szCs w:val="20"/>
          <w:color w:val="auto"/>
        </w:rPr>
      </w:pPr>
      <w:r>
        <w:rPr>
          <w:rFonts w:ascii="Times New Roman" w:cs="Times New Roman" w:eastAsia="Times New Roman" w:hAnsi="Times New Roman"/>
          <w:sz w:val="18"/>
          <w:szCs w:val="18"/>
          <w:color w:val="auto"/>
        </w:rPr>
        <w:t>receptor antagonists and other glutamate modulators in the treatment of a range of neurological diseases, these approved drugs have serious side effects and other drawbacks that we have attempted to solve with our development of troriluzole.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Troriluzole</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Troriluzole is a new chemical entity (“NCE”) and tripeptide prodrug of the active metabolite, riluzole. Based on its mechanism of action, preclinical data and clinical studies, troriluzole has potential for therapeutic benefit in a range of neurological and neuropsychiatric illnesses. Initial development has focused on its use in treating SCA, an orphan neurological indication that currently has no approved drug therapies and for which the active metabolite, riluzole, has demonstrated preliminary efficacy in two prior randomized controlled trials conducted by third parties.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Ristori et al. reported a randomized, double-blind, placebo-controlled trial of 40 patients presenting with cerebellar ataxias of diverse etiologies, including SCA. Subjects were randomized to receive 8 weeks treatment with either placebo or riluzole (50 mg Riluzole tablets, twice daily). Statistically significant improvement in the riluzole treated group was demonstrated on the International Cooperative Ataxia Rating Scale (“ICARS”). The number of patients with a 5-point ICARS drop was higher in the riluzole group than in the placebo group after 4 weeks (9/19 vs 1/19; odds ratio [“OR”] =16.2; 95% confidence interval [“CI”] 1.8–147.1) and 8 weeks (13/19 vs 1/19; OR = 39.0; 95% CI 4.2– 364.2). The mean change in the riluzole group ICARS after treatment revealed a decrease (p &lt; 0.001) in the total score (-7.05 [4.96] vs 0.16 [2.65]).</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Romano et al. described results of a second randomized, placebo-controlled trial subjects diagnosed with a hereditary ataxia (including SCAs) randomized to receive 12 months of treatment with either placebo or riluzole (50 mg, twice daily). 60 patients were randomized. Statistically significant improvement in the riluzole treated group was demonstrated on the Scale for the Assessment of Ataxia (“SARA”). The proportion with decreased SARA score was 14 (50%) of 28 patients in the riluzole group versus three (11%) of 27 in the placebo group (OR 8.00, 95% CI 1.95– 32.83; p=0.002).</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acquired troriluzole from ALS Biopharma, LLC (“ALS Biopharma”) and Fox Chase Chemical Diversity Center, Inc. (“FCCDC”), along with an estate of over 300 prodrugs. A prodrug is a compound that, after administration, is metabolized in the body into an active drug. Troriluzole is actively transported by virtue of recognition of its tripeptide moiety by the PepT1 transporter in the gut and is responsible for the increased bioavailability of the drug. Once inside the body, the prodrug, troriluzole is cleaved by enzymes in the blood to the parent, riluzole. To mitigate the limitations of riluzole, several classes of prodrugs were designed, synthesized, and evaluated in multiple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stability assays that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drug levels. Troriluzole is a third generation of prodrug development and the product of six years of intensive chemistry efforts.</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Riluzole is currently only indicated for ALS and has a number of non-desirable attributes that have limited its clinical use. Key limitations of riluzole include poor oral bioavailability, difficulty swallowing due to tablet formulation, food reducing efficacy, liver toxicity, pharmacokinetic variability, and oral numbness.</w:t>
      </w:r>
    </w:p>
    <w:p>
      <w:pPr>
        <w:spacing w:after="0" w:line="12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 xml:space="preserve">The prodrug design and selected administration pathway that was pursued with troriluzole is intended to address all of these limitations of riluzole. In addition, a prodrug can be engineered to enhance absorption and protect from diminished absorption when taken with meals. The troriluzole preclinical development strategy was based on optimizing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features, such as stability in gastrointestinal and stomach fluids; stability in liver microsomes; limiting off-target effects (particularly liver effects); metabolic cleavage in the plasma to release the active moiety; and enhanced gastrointestinal absorption properties.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rodents, the intended benefits of this optimization program were observed, including delayed peak concentrations and greater exposure.</w:t>
      </w:r>
    </w:p>
    <w:p>
      <w:pPr>
        <w:spacing w:after="0" w:line="1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After six years of chemistry development and preclinical testing, the resulting lead prodrug from the chemistry program was troriluzole. Troriluzole is chemically comprised of riluzole linked via an amide bond to a tripeptide that is a substrate for gut transporters (“PepT1”) and which contributes to its improved bioavailability. The tripeptide moiety is cleaved by plasma aminopeptidases, releasing riluzole and naturally occurring amino acids, which we believe are readily managed by endogenous metabolic routes. We believe that the estate of compounds we acquired, combined with our internally developed intellectual property, will provide a significant protection for our innovations. Troriluzole is stable in fluids from the gastrointestinal tract and expected to have a differentiated profile with regard to any liability for hepatic effects.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Program for Troriluzole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Studies with Troriluzole</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July 2016, we began a Phase 1 randomized, double-blind, placebo-controlled study to evaluate the safety, tolerability and pharmacokinetics (“PK”) of single and multiple ascending doses of troriluzole in normal healthy volunteers. 58 healthy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1201" w:right="35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18"/>
          <w:szCs w:val="18"/>
          <w:color w:val="auto"/>
        </w:rPr>
        <w:t>volunteers were dosed with troriluzole and 20 were dosed with placebo. Both single and multiple doses up to 200 mg were well tolerated without evidence of novel, clinically significant safety signals or lab abnormalities. There was no apparent dose response regarding the frequency or severity of adverse events (“AEs”). In the blinded group, including subjects treated with both placebo and troriluzole, the most common AEs were headache (five subjects, two with moderate severity and three with mild severity) and constipation (two subjects). No pattern of AEs or lab abnormalities were apparent to provide specific cautions or to suggest cautions beyond what is appropriate for the active metabolite, riluzole. Commencing in December 2017, an additional single and multiple dose study was conducted to assess the safety, tolerability and PK of a 280 mg dose in 10 healthy young and elderly volunteers (eight active; two placebo). The results supported adequate safety and tolerability and yielded mean exposures comparable to what would be expected from a 200 mg dose, a dose that has been safely used in clinic populations and associated with efficacy in a range of disorders in randomized controlled trials (Huntington Study Group Neurology 2003; Lacomblez Neurology 1996). In addition, a bioequivalence study was conducted to bridge a commercial formulation with a Phase 2/3 formulation in 32 healthy volunteers. The commercial formulation was well-tolerated and provided bioequivalent exposure with the Phase 2/3 formulation.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Troriluzole for OCD</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OCD is a chronic neuropsychiatric disorder characterized by symptoms of obsessions (intrusive thoughts) and compulsions (repetitive behaviors) that can interfere with patients’ functional abilities. According to the National Institute of Mental Health, the 12-month prevalence of OCD is 1% of the U.S. adult population, and approximately half of these cases are characterized as severe. First-line treatment for OCD includes cognitive behavioral therapy, selective serotonin reuptake inhibitors (“SSRIs”) and adjunctive use of atypical antipsychotics. Nonetheless, up to 60% of patients have an inadequate response to conventional intervention strategies and some seek invasive neurosurgical procedures to ameliorate symptoms.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also currently developing troriluzole as a potential treatment option for patients suffering from OCD. OCD is a chronic neuropsychiatric disorder characterized by symptoms of obsessions (intrusive thoughts) and compulsions (repetitive behaviors) that can interfere with patients’ functional abilities. Despite the significant public health burden, no novel mechanisms of action have been approved by the FDA for OCD in over two decades. The rationale for use of troriluzole in OCD is supported by clinical data with its active metabolite, riluzole, in populations with OCD in open-label and placebo-controlled clinical trials as well as in preclinical, genetic and neuroimaging studies implicating the glutamatergic hyperactivity in the pathogenesis of OCD.</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multiple case studies, the use of riluzole in patients with refractory OCD has commonly been associated with meaningful improvement of symptoms. A small-scale randomized controlled trial in adults with OCD conducted by a third party showed favorable trends for the use of riluzole in an outpatient setting. Another randomized controlled third-party study demonstrated statistically significant therapeutic effects with the adjunctive use of riluzole as compared to adjunctive placebo in 50 adults with refractory OCD. These clinical effects are consistent with findings such as genetic associations of glutamate transporter genes with OCD and increased glutamate concentrations in brain and cerebrospinal fluid of patients with OCD. Taken together, we believed there was a clear rationale for advancement of troriluzole, a prodrug of riluzole, into a Phase 2 proof-of-concept trial in OCD.</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commenced a Phase 2/3 double-blind, randomized controlled trial on the use of troriluzole in adults with OCD in late 2017. Results from the Phase 2/3 trail were announced in June 2020. Troriluzole 200 mg administered once daily as adjunctive therapy in OCD patients with inadequate response to standard of care treatment showed consistent numerical improvement over placebo on the Yale-Brown Obsessive Compulsive Scale (“Y-BOCS”) at all study timepoints (weeks 4 to 12) but did not meet the primary endpoint at week 12. Troriluzole treated subjects (n = 111) had a mean Y-BOCS improvement of -3.4 points from baseline versus -2.9 for placebo-treated (n = 115) subjects [difference -0.5 and p-value = 0.451] at week 4, -5.1 points (n = 96) versus -3.6 for placebo-treated (n = 108) subjects [difference -1.5 and p-value = 0.041] at week 8, and -5.9 points (n = 99) versus -4.9 for placebo-treated (n = 102) subjects [difference -1.0 and p-value = 0.220] at week 12. Troriluzole’s safety profile was generally consistent with past clinical trial experience with its active metabolite, riluzole. Treatment emergent adverse events (“TEAE”s) were mostly reported to be mild in intensity. TEAEs that occurred in at least 5% of patients in the troriluzole group, and more frequently in the troriluzole group than in the placebo group, were headache, dizziness, fatigue, somnolence, nausea and nasopharyngitis.</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strong signal in the Phase 2/3 proof of concept study and after receiving feedback from the FDA in an End of Phase 2 meeting, in December 2020 we initiated enrollment in a Phase 3 program. The Phase 3 program will have an estimated total enrollment of 1,300 participants with a primary endpoint of change from baseline on the Y-BOCS total score at week 4, 8 and 10. The two Phase 3 randomized, double-blind, placebo-controlled trials that make-up our Phase 3 program for OCD are currently ongoing with enrollment expected to be completed in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Troriluzole for GBM</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Preclinical and small-scale pilot studies are underway to explore troriluzole’s use in the treatment of a pipeline of other indications such as some cancers whose spread is thought mediated by glutamate transmission, such as melanoma and glioblastoma.</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collaboration with Johns Hopkins University, we explored the potential applicability of troriluzole for glioblastoma. The oncology collaboration Johns Hopkins was based upon the mechanistic rationale that some tumors over express glutamate receptors, the central role that glutamate may have in cancer metabolism and the effect of glutamate on the tumor microenvironment.</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2021, the Global Coalition for Adaptive Research ("GCAR") selected troriluzole for evaluation in Glioblastoma Adaptive Global Innovative Learning Environment - NCT03970447 ("GBM AGILE"). GBM AGILE is a revolutionary patient-centered, adaptive platform trial for registration that tests multiple therapies for patients with newly-diagnosed and recurrent glioblastoma ("GBM"), the most fatal form of brain cancer. Troriluzole will be evaluated in all patient subgroups of the trial which include newly-diagnosed methylated O6-methylguanine DNA methyltransferase (“MGMT”), newly-diagnosed unmethylated MGMT, and recurrent GBM. Troriluzole was selected for inclusion in GBM AGILE based on compelling evidence showing deregulation of glutamate in GBM. The therapeutic potential of troriluzole in GBM and other oncology indications is supported by several recent clinical and translational research studies conducted with troriluzole and its active moiety. For example, Medikonda et al. showed a survival benefit with troriluzole, alone and in combination with anti-programmed cell death protein-1 (“PD-1”) immunotherapy, utilizing a frequently used murine brain tumor model. C57BL/6J mice were intracranially implanted with luciferase-tagged GL261 glioma cells. Mice were randomly assigned to the control, anti-PD-1, troriluzole or combination anti-PD-1 plus troriluzole treatment arms, and median overall survival was assessed. The troriluzole treatment arm demonstrated improved survival compared with the control arm (median survival of 36% vs. 0%; p &lt; 0.0001), as did the combination anti-PD-1 plus troriluzole treatment arm (overall survival of 80% vs. 0; p = 0.0007).</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2022, the Company and GCAR announced that enrollment has commenced in GBM AGILE for the evaluation of troriluzole. GBM AGILE is a multi-arm, platform trial. The evaluation of each therapy in GBM AGILE proceeds in 2 possible stages. A therapy's Stage 1 is an adaptively randomized Screening stage for evaluating the therapy within patient signatures compared against a common control. A therapy in Stage 1 will stop accruing patients if it reaches its maximal sample size, drops for futility, or evinces inadequate safety. If a therapy reaches an efficacy threshold for graduation from Stage 1, it will move into Stage 2 within one of the prospectively defined signatures. The maximum sample size in Stage 1 is 150 patients. For a therapy graduating to Stage 2 there is a fixed randomization, expansion cohort. The maximum sample size in Stage 2 is 50 experimental patients in the graduating signature. The primary analysis of a regimen's effect on overall survival (“OS”) uses all patients in both its stages and all control patients in the trial in the graduating signature, suitably adjusted for any possible time trends.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Troriluzole for SCA</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Based on the results of our Phase 1 trial with troriluzole and two third-party academic trials that have shown preliminary efficacy of riluzole in cerebellar ataxias, we advanced troriluzole into a Phase 2/3 clinical trial for SCA. Initially, we had conducted a Phase 2b/3, randomized, double-blind, placebo-controlled, parallel-group study to assess the safety and efficacy of troriluzole over 8 weeks in subjects with SCA. In October 2017, we announced that troriluzole at a dose of 140 mg once daily (“QD”) did not differentiate from placebo on the primary endpoint of the mean change from baseline on the Scale for Assessment and Rating of Ataxia (“SARA”) total score after 8 weeks of treatment. After eight weeks of treatment, troriluzole treated subjects (n</w:t>
      </w:r>
    </w:p>
    <w:p>
      <w:pPr>
        <w:spacing w:after="0" w:line="3" w:lineRule="exact"/>
        <w:rPr>
          <w:sz w:val="20"/>
          <w:szCs w:val="20"/>
          <w:color w:val="auto"/>
        </w:rPr>
      </w:pPr>
    </w:p>
    <w:p>
      <w:pPr>
        <w:ind w:firstLine="8"/>
        <w:spacing w:after="0" w:line="251" w:lineRule="auto"/>
        <w:tabs>
          <w:tab w:leader="none" w:pos="1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demonstrated an improvement of –0.81 points [95% CI: –1.4 to –0.2] on the SARA versus –1.05 points [95% CI: –1.6 to –0.4] improvement in placebo-treated (n = 68), p-value = 0.52. In this trial, we observed a favorable safety and tolerability profile of troriluzole, with no drug-related serious adverse events (“SAEs”) and low discontinuation rates due to AEs. During open-label treatment over the 48-week extension phase, however, troriluzole did show slowing of disease progression in troriluzole-treated subjects in contrast to the measurable decline expected for a cohort of untreated subjects based on the natural history of the disease. Based on our learnings from the Phase 2b/3 study, including analyses from the open-label extension phase, we advanced troriluzole into a Phase 3, randomized, double-blind, placebo-controlled, parallel-group study to assess the safety and efficacy of troriluzole over 48 weeks in subjects with SCA. We enriched this trial with specific SCA genotypes, extended the treatment period of this trial to 48 weeks, implemented the use of a modified SARA scale (“f-SARA”), and increased the dose of troriluzole to 200 mg QD. Notably, the f-SARA is a novel, 16-point scale developed in collaboration with FDA as the primary outcome measure for this trial; the scale was designed to limit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1199"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subjectivity of the scale and focus on functional aspects of the disease so that significant changes would be considered clinically meaningful.</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2022, the Company announced top-line results from the Phase 3 clinical trial evaluating the efficacy and safety of its investigational therapy, troriluzole, in adult patients with SCA. The primary endpoint, change from baseline to week 48 on the f-SARA, did not reach statistical significance in the overall SCA population as there was less than expected disease progression over the course of the study. In the overall study population (n = 213), the troriluzole and placebo groups each had mean baseline scores of 4.9 on the f-SARA and the two groups showed minimal change at the 48-week endpoint with f-SARA scores of 5.1 and 5.2, respectively (p=0.76). Troriluzole was well tolerated with an adverse event profile similar to placebo. The frequency of subjects with any TEAE was 80.6% for troriluzole vs. 84.4% for placebo and the frequency of subjects with serious TEAEs was 5.6% for troriluzole vs.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for placebo.</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Post-hoc analysis of efficacy measures by genotype suggests a treatment effect in patients with the SCA Type 3 (“SCA3”) genotype, which represents the most common form of SCA and accounted for 41% of the study population. In the SCA3 subgroup, troriluzole showed a numerical treatment benefit on the change in f-SARA score from baseline to week 48 compared to placebo (least squares (“LS”) mean change difference -0.55, nominal p-value = 0.053, 95% CI: -1.12, 0.01). SCA patients treated with troriluzole showed minimal disease progression over the study period. Further, in patients in the SCA3 subgroup who were able to walk without assistance at baseline (i.e., f-SARA Gait Item score = 1), troriluzole demonstrated a greater numerical treatment benefit on the change in f-SARA score from baseline to week 48 compared to placebo (LS mean change difference -0.71, nominal p-value = 0.031, 95% CI: -1.36, -0.07).</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Across all genotypes, patients who were able to ambulate at baseline (i.e., f-SARA Gait Item score = 1) showed a reduction in the relative risk of falls in troriluzole-treated patients versus placebo. Patient reported falls, as measured by adverse events reveal an approximately 58% reduction of fall risk in the troriluzole group (10% versus 23% AE incidence of falls in the troriluzole and placebo groups, respectively; nominal p=0.043).</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reduction of falls in the troriluzole group combined with the progression of f-SARA scores in the untreated SCA3 group compared to SCA3 patients on troriluzole demonstrates that SCA3 patients are experiencing a clinically meaningful improvement in ataxia symptoms on troriluzole treatment. Given these findings and the debilitating nature of SCA, we intend to share the SCA3 genotype data with regulators and work with the FDA to address the high unmet need in this patient population. There are currently no FDA-approved medications for the treatment of SCA or any other cerebellar ataxia, and treatment is supportive. In general, multidisciplinary care provides supportive measures and the goal of this treatment is to improve quality of life and survival.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Glutamate NMDA Receptor Antagonism and BHV-5500 for Neuropathic Pain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 NMDA receptor antagonist is a type of glutamate antagonist that works to inhibit the action of NMDA receptors which may play a role in degenerative diseases that affect the brain. BHV-5500 (lanicemine) was in-licensed from AstraZeneca and is a low-trapping, NMDA receptor antagonist with differentiating pharmacologic properties from other agents in development targeting this receptor. The unique property of low-trapping antagonists is their ability to uncouple from the NMDA receptor more freely than other agents, a property that is thought to contribute to their mitigated risk of dissociative effects as has been observed in the clinic. Lanicemine, binds within the NMDA channel pore and functionally blocks the flow of charged ions through the NMDA receptor complex.</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Neuropathic pain is a chronic condition caused by dysfunctional or damaged nerves. Neuropathic pain can be a debilitating and common problem affecting approximately 10% of adults in the United States. Despite the availability of multiple approved drugs, including Lyrica, and guidelines for the treatment of neuropathic pain, treatment of this condition remains a major therapeutic challenge. Existing analgesics are often ineffective, can cause serious side effects and have abuse potential that limits widespread use. Increased NMDA receptor activity is known to contribute to central sensitization in neuropathic pain. NMDA receptor antagonists have been shown to reduce hyperalgesia and pain in animal models of neuropathic pain induced by nerve injury and diabetic neuropathy. Clinically used NMDA receptor antagonists, including ketamine and dextromethorphan, can be effective in patients suffering from neuropathic pain syndromes. The clinical use of robust NMDA antagonists, such as ketamine, is limited due to dissociative, psychotomimetic and abuse potential properties. Novel NMDA receptor antagonists, such as BHV-5500, that are not associated with the psychotomimetic effects and abuse potential could lead to better management of neuropathic pain without causing serious side effects.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120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Our MPO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Verdiperstat</w:t>
      </w:r>
    </w:p>
    <w:p>
      <w:pPr>
        <w:spacing w:after="0" w:line="17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Verdiperstat is a selective, brain-permeable, irreversible myeloperoxidase (“MPO”) enzyme inhibitor which we are developing for the treatment of neurodegenerative diseases. MPO generates an array of cytotoxic oxidants and is a key driver of oxidative and inflammatory processes that underlie a broad range of disorders. MPO plays a key role in neurodegenerative, inflammatory, and immune-mediated diseases, including multiple system atrophy (“MSA”), Alzheimer’s disease, Parkinson’s disease, multiple sclerosis, ischemic and hemorrhagic forms of stroke, epilepsy, depression and other neuropsychiatric disorders. Clinical and experimental studies have revealed the detrimental role of MPO. Hence, suppressing MPO may be a novel treatment approach for these disorders.</w:t>
      </w:r>
    </w:p>
    <w:p>
      <w:pPr>
        <w:spacing w:after="0" w:line="133"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Verdiperstat (formerly named AZD3241) was in-licensed from AstraZeneca in September 2018. Seven clinical studies had been completed by AstraZeneca, including four Phase 1 studies in healthy subjects, two Phase 2a studies in subjects with Parkinson’s disease, and one Phase 2b study in subjects with MSA.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Program for Verdiperstat for ALS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ALS is a progressive, life-threatening, and rare neuromuscular disease that affects approximately 30,000 people in the United States. The median age of onset is 55 years and average survival is 3-5 years after onset of first symptoms. ALS is characterized by the loss of motor neurons in the brain, brainstem, and spinal cord that leads to progressive muscle weakness and difficulties in speaking, swallowing, and breathing. There are currently limited treatment options and no cure for ALS.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MPO may play a role in increasingly recognized ALS disease mechanisms mediated by peripheral myeloid cells, including those that migrate into the brain as well as those that remain in the periphery, suggesting relevance of MPO as a therapeutic target. In September 2019, we announced that verdiperstat was selected to be studied in the pivotal HEALEY ALS Platform Trial, which is being conducted by the Sean M. Healey &amp; AMG Center for ALS at MGH (“Healey Center”) in collaboration with the Northeast ALS Consortium (“NEALS”) clinical trial network. Promising investigational drugs were chosen for the HEALEY ALS Platform Trial through a competitive process, with the Healey Center providing partial financial support to successful applicants. The HEALEY ALS Platform Trial is a Phase 2/3 randomized, double-blind, placebo-controlled clinical trial evaluating the safety and efficacy of investigational products for the treatment of ALS. HEALEY ALS Platform Trial Regimen B is evaluating the safety and efficacy of verdiperstat in approximately 167 adults with ALS. Participants were randomized in a 3-to-1 ratio treated with verdiperstat 600 mg BID or placebo for 24 weeks. The study's primary efficacy endpoint measures the change in disease severity from baseline to week 24 on the ALS Functional Rating Scale-Revised in patients receiving treatment versus placebo. Secondary endpoints include change in respiratory function, muscle strength, and survival. In August 2020, we announced that the first patients were enrolled in the pivotal HEALEY ALS Platform Trial Regimen B. Enrollment in the trial was completed in November 2021, with results expected in the second half of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Myostatin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Taldefgrobep Alfa</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February 2022, we announced a worldwide license agreement with BMS for the development and commercialization rights to taldefgrobep alfa (also known as BMS-986089), a novel Phase 3 asset. Myostatin, a negative regulator of muscle growth, is a key member of the TGF (symbol Beta) family. Taldefgrobep novelty in a field of myostatin inhibitors is based on the mechanism where it binds to myostatin to both lower overall myostatin levels, but also to function as a receptor antagonist to block myostatin signaling in skeletal muscles. Blocking myostatin activity and signaling has shown to improve muscle function and strength in a number of disease models for neuromuscular wasting. Clinical studies have confirmed that taldefgrobep improved lean body mass directly through increase on contractile muscle and loss of adipose tissue as demonstrated in both normal healthy volunteers and in patients with Duchenne muscular dystrophy (“DMD”). The mechanism of improving overall muscle size and function opens the opportunity for taldefgrobep as monotherapy or combination therapy in a number of muscle-targeted neuromuscular diseases.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Clinical Trial for Taldefgrobep Alfa in SMA</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July 2022, we commenced enrollment in a Phase 3 clinical trial assessing the efficacy and safety of taldefgrobep alfa in SMA. SMA is a rare, progressively debilitating motor neuron disease in which development and growth of muscle mass are compromised, resulting in progressive weakness and muscle atrophy, reduced motor function, impaired quality of life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97" w:right="339" w:bottom="1440" w:gutter="0" w:footer="0" w:header="0"/>
        </w:sectPr>
      </w:pPr>
    </w:p>
    <w:bookmarkStart w:id="97" w:name="page98"/>
    <w:bookmarkEnd w:id="97"/>
    <w:p>
      <w:pPr>
        <w:spacing w:after="0" w:line="256" w:lineRule="auto"/>
        <w:rPr>
          <w:sz w:val="20"/>
          <w:szCs w:val="20"/>
          <w:color w:val="auto"/>
        </w:rPr>
      </w:pPr>
      <w:r>
        <w:rPr>
          <w:rFonts w:ascii="Times New Roman" w:cs="Times New Roman" w:eastAsia="Times New Roman" w:hAnsi="Times New Roman"/>
          <w:sz w:val="18"/>
          <w:szCs w:val="18"/>
          <w:color w:val="auto"/>
        </w:rPr>
        <w:t>often death. The Phase 3 placebo-controlled, double-blind trial is designed to evaluate the efficacy and safety of taldefgrobep as an adjunctive therapy for participants who are already taking a stable dose of nusinersen or risdiplam or have a history of treatment with onasemnogene abeparvovec-xioi, compared to placebo. The primary outcome measures of the study will be efficacy of taldefgrobep alfa compared to placebo in the change in the 32 item Motor Function Measure (“MFM-32”) total score from baseline to Week 48. Scores range from 0-3 on each item, with higher scores indicating higher functioning. The study is neither restricted nor limited to patients based on ambulatory status or classification of SMA. We expect to randomize approximately 180 patients in this randomized, double-blind, placebo-controlled global trial.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Spinal Muscular Atrophy</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SMA is a rare genetic neurodegenerative disorder characterized by the loss of motor neurons, atrophy of the voluntary muscles of the limbs and trunk and progressive muscle weakness that is often fatal and typically diagnosed in young children. The underlying pathology of SMA is caused by insufficient production of the survival of motor neuron (“SMN”) protein, essential for the survival of motor neurons, and is encoded by two genes, SMN1 and SMN2. In the U.S., SMA affects approximately 1 in 11,000 births, and about 1 in every 50 Americans is a genetic carrier. Newborn screening is now available in 48 U.S. states and covers over 94% of all births.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Taldefgrobep Alfa’s Role in Spinal Muscular Atrophy</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the past three years, significant advancements were made to address the underlying cause of disease in SMA with the up-regulation of SMN1 and SMN2 expression which positions taldefgrobep as a potential combination therapy to enhance muscle performance. Data from both an SMA animal model study that shows advantages of combination SMN therapy with taldefgrobep and the extensive clinical data in DMD support the advancement of taldefgrobep into a SMA Phase 3 study. Other indications in muscle wasting diseases will be a fast follow-on for taldefgrobep along with other life-cycle opportunities.</w:t>
      </w:r>
    </w:p>
    <w:p>
      <w:pPr>
        <w:spacing w:after="0" w:line="1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acquisition of taldefgrobep alfa expands our Neuroinnovation pipeline. The advanced taldefgrobep alfa anti-myostatin development program offers extensive human safety data, especially in the pediatric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80010</wp:posOffset>
            </wp:positionV>
            <wp:extent cx="5314950" cy="3926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5314950" cy="392620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20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Biohaven Labs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January 2021, we acquired the remaining approximately 58% of Kleo Pharmaceuticals, Inc. ("Kleo") that we did not previously own. We have assumed Kleo's laboratory facilities located in Science Park in New Haven, Connecticut and formed Biohaven Labs to serve, along with the Pittsburgh-based Kv7 platform, as our integrated chemistry and discovery research arm. Biohaven Labs will continue to augment its discovery efforts through research partnerships, including research agreements such as with KU Leuven and the Fox Chase Chemical Diversity Center Inc. and research grants such as from the Bill and Melinda Gates Foundation and the NIH HEAL Initiative.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TRPM3 Antagonists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 Leuven Agreement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January 2022, we entered into the KU Leuven Agreement to develop and commercialize TRPM3 antagonists to address the growing proportion of people worldwide living with chronic pain disorders (the "KU Leuven Agreement"). The TRPM3 antagonist platform was discovered at the Centre for Drug Design and Discovery and the Laboratory of Ion Channel Research at KU Leuven. Under the KU Leuven Agreement, we receive exclusive global rights to develop, manufacture and commercialize KU Leuven's portfolio of small-molecule TRPM3 antagonists. The portfolio includes the lead candidate, BHV-2100, which we are evaluating in several preclinical pain models and advancing towards the clinic in 2023. We are continuing to support further basic and translational research on the role of TRPM3 in pain and other disorders through our collaboration with Professors Joris Vriens and Thomas Voets, world leaders in TRP biology at KU Leuven.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Efforts to target TRP Channels for pain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the Nobel Prize-winning discovery of the capsaicin receptor TRPV1 in 1997, members of the Transient Receptor Potential (“TRP”) cation channel family have been elusive drug targets for the treatment of pain. Initially, there was much excitement and investment in TRPV1 antagonists due to promising preclinical efficacy and some evidence of clinical pain reduction. However, trials of most TRPV1 antagonists were terminated after the class consistently caused clinically-significant hyperthermia in study participants. Several companies then made efforts to progress antagonists of TRPA1, the receptor for mustard oil. Though Glenmark’s GRC 17536 showed encouraging results in a subset of diabetic peripheral neuropathic pain subjects in a Phase IIa study, it suffers from poor physiochemical properties and pharmacokinetics like many other TRPA1 antagonists. Due to the challenges with drugging TRPA1, only Eli Lilly’s LY3526318 remains in active clinical development.</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TRPM3 is a novel target in the TRP family. Like TRPV1 and TRPA1, preclinical data and human genetic validation support TRPM3’s role in neuropathic pain. Unlike TRPV1 antagonists, TRPM3 antagonists are unlikely to possess significant thermal liabilities, and unlike TRPA1 antagonists, Biohaven’s TRPM3 antagonists have desirable physiochemical properties and good pharmacokinetic profiles. The figure below illustrates TRPM3 as a differentiated target for the treatment of pain in the TRP family.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197" w:right="3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5760720" cy="2494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Adapted from </w:t>
      </w:r>
      <w:r>
        <w:rPr>
          <w:rFonts w:ascii="Times New Roman" w:cs="Times New Roman" w:eastAsia="Times New Roman" w:hAnsi="Times New Roman"/>
          <w:sz w:val="14"/>
          <w:szCs w:val="14"/>
          <w:i w:val="1"/>
          <w:iCs w:val="1"/>
          <w:color w:val="auto"/>
        </w:rPr>
        <w:t>Efforts to target TRP channels for pain</w:t>
      </w:r>
      <w:r>
        <w:rPr>
          <w:rFonts w:ascii="Times New Roman" w:cs="Times New Roman" w:eastAsia="Times New Roman" w:hAnsi="Times New Roman"/>
          <w:sz w:val="14"/>
          <w:szCs w:val="14"/>
          <w:color w:val="auto"/>
        </w:rPr>
        <w:t>, Kovivisto et al.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TRPM3</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Transient Receptor Potential Melastatin 3 (“TRPM3”) is a novel druggable target in the TRP cation channel family. TRPM3 is functionally expressed in the human dorsal root ganglion, and several SNPs in TRPM3 are associated with altered pain sensation in response to UVB (see figure below). Additionally, people with TRPM3 gain-of-function mutations experience altered pain sensation (de Sainte Agathe 2020, Dyment 2019, Van Hoeymissen 2020). Knocking out or antagonizing TRPM3 in animal models attenuates the development of various pain states, including those associated with nerve injury, chemotherapy, and diabetic peripheral neuropathy, further indicating that TRPM3 is a promising target for neuropathic pain. Lastly, preclinical evidence suggests that antagonizing TRPM3 may avoid the on-target body temperature effects and dangerous lack of noxious heat detection that afflicted TRPV1 antagonists.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114300</wp:posOffset>
            </wp:positionV>
            <wp:extent cx="6549390" cy="199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65493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7160" w:val="left"/>
        </w:tabs>
        <w:rPr>
          <w:sz w:val="20"/>
          <w:szCs w:val="20"/>
          <w:color w:val="auto"/>
        </w:rPr>
      </w:pPr>
      <w:r>
        <w:rPr>
          <w:rFonts w:ascii="Times New Roman" w:cs="Times New Roman" w:eastAsia="Times New Roman" w:hAnsi="Times New Roman"/>
          <w:sz w:val="14"/>
          <w:szCs w:val="14"/>
          <w:color w:val="auto"/>
        </w:rPr>
        <w:t>Vangeel et al, 2020</w:t>
      </w:r>
      <w:r>
        <w:rPr>
          <w:sz w:val="20"/>
          <w:szCs w:val="20"/>
          <w:color w:val="auto"/>
        </w:rPr>
        <w:tab/>
      </w:r>
      <w:r>
        <w:rPr>
          <w:rFonts w:ascii="Times New Roman" w:cs="Times New Roman" w:eastAsia="Times New Roman" w:hAnsi="Times New Roman"/>
          <w:sz w:val="14"/>
          <w:szCs w:val="14"/>
          <w:color w:val="auto"/>
        </w:rPr>
        <w:t>Lotsch et al,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Development of BHV-2100 for the Treatment of Neuropathic Pain</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BHV-2100 is an orally-bioavailable small molecule antagonist of TRPM3. TRPM3 is expressed in the relevant human tissue types for neuropathic pain, and both preclinical models and human genetics implicate TRPM3 in pain signaling. BHV-2100 is our lead orally-bioavailable small molecule TRPM3 antagonist which we are developing as a potential non-opioid treatment for neuropathic pain. We are evaluating the ability of BHV-2100 to reduce pain behaviors across several preclinical models of neuropathic pain, including chemotherapy induced neuropathy, diabetic neuropathy, and nerve injury. First-in-human studies of BHV-2100 are anticipated to begin in 2023, complementing our efforts with our Kv7 platform. The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440" w:right="359" w:bottom="1440" w:gutter="0" w:footer="0" w:header="0"/>
          <w:type w:val="continuous"/>
        </w:sectPr>
      </w:pPr>
    </w:p>
    <w:bookmarkStart w:id="100" w:name="page101"/>
    <w:bookmarkEnd w:id="100"/>
    <w:p>
      <w:pPr>
        <w:ind w:right="1320"/>
        <w:spacing w:after="0" w:line="438" w:lineRule="auto"/>
        <w:rPr>
          <w:sz w:val="20"/>
          <w:szCs w:val="20"/>
          <w:color w:val="auto"/>
        </w:rPr>
      </w:pPr>
      <w:r>
        <w:rPr>
          <w:rFonts w:ascii="Times New Roman" w:cs="Times New Roman" w:eastAsia="Times New Roman" w:hAnsi="Times New Roman"/>
          <w:sz w:val="18"/>
          <w:szCs w:val="18"/>
          <w:color w:val="auto"/>
        </w:rPr>
        <w:t xml:space="preserve">Company is evaluating and has not yet finalized potential clinical trial designs, including trial size, and primary and secondary endpoints. </w:t>
      </w:r>
      <w:r>
        <w:rPr>
          <w:rFonts w:ascii="Times New Roman" w:cs="Times New Roman" w:eastAsia="Times New Roman" w:hAnsi="Times New Roman"/>
          <w:sz w:val="18"/>
          <w:szCs w:val="18"/>
          <w:i w:val="1"/>
          <w:iCs w:val="1"/>
          <w:color w:val="auto"/>
        </w:rPr>
        <w:t>Additional research on TRPM3-mediated disorders</w:t>
      </w:r>
    </w:p>
    <w:p>
      <w:pPr>
        <w:spacing w:after="0" w:line="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Under the KU Leuven agreement, Biohaven is supporting further basic and translational research at KU Leuven on the role of TRPM3 in pain and other disorders. In addition to BHV-2100, we are optimizing other lead compounds for TRPM3-mediated disorders of the peripheral and central nervous systems.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TDP-43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Fox Chase Chemical Diversity Center Inc.</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May 2019, we entered into an agreement with Fox Chase Chemical Diversity Center Inc. (“FCCDC”) for FCCDC’s TAR-DNA protein-43 (“TDP43”) assets (the “FCCDC Agreement”). The FCCDC Agreement provides us with a plan and goal to identify one or more new chemical entity candidates for preclinical development for eventual clinical evaluation for the treatment of one or more TDP-43 proteinopathies. In connection with the FCCDC Agreement, we have established a TDP-43 Research Plan with FCCDC that provides for certain milestones to be achieved by FCCDC, and milestone payments to be made by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Development Program Targeting TDP-43 in Neurodegeneration</w:t>
      </w:r>
    </w:p>
    <w:p>
      <w:pPr>
        <w:spacing w:after="0" w:line="1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TDP-43 is a multifunctional nucleic acid-binding protein that is implicated in neurodegeneration. Mutations in the gene that encodes for TDP-43 cause familial and sporadic ALS and frontotemporal dementia (“FTD”). Cytoplasmic TDP-43 aggregates are the neuropathological hallmark of ALS-FTD spectrum disorders. The Company is evaluating and has not yet finalized potential clinical trial designs, including trial size, and primary and secondary endpoints.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Mechanism of Action of Our TDP-43 Targeting Compounds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TDP-43 is a nucleic acid binding protein that has several molecular and cellular functions. Salient TDP-43 functions implicated in disease pathogenesis are shown in the figure below. The most common motif identified for TDP-43 is thymine-gauanine repeats (“[TG]n”), which corresponds to the uracil-gauanine repeats (“[UG]n”) ribonucleic acid (“RNA”) binding motif. Interaction with RNA allows TDP-43 to regulate pre-mRNA splicing to inhibit the inclusion of cryptic exons as well as influence polyadenylation site selection. Cytosolic roles for TDP-43 include transport of RNA along neuronal processes and response to stresses, including those affecting proteostasis, which can trigger TDP-43 nuclear efflux and localization 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20"/>
          </w:cols>
          <w:pgMar w:left="320" w:top="120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stress granules. A multitude of these basic molecular functions contribute to TDP-43 autoregulation, including splicing and polyadenylation.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377190</wp:posOffset>
            </wp:positionV>
            <wp:extent cx="3429000" cy="267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34290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mechanism of action of our small molecule TDP-43 targeting compounds is the disruption of nucleotide binding to TDP-43. Our compounds were identified using a high-throughput screening approach that measured inhibition of oligonucleotide binding to TDP-43 using Amplified Luminescence Proximity Homogenous Assay (AlphaScreen®) technology. Screening was performed on a diverse set of more than 7000 compounds and identified compounds with sub-micromolar affinities that disrupt oligonucleotide binding to TDP-43, by binding to TDP-43 directly themselves (Cassel J. Biomolecular Screening, 2010, 15, 1099-1106). Several chemotypes were identified. Structure activity relationships were developed and refined with a focus on optimizing pharmacology, in vitro and in vivo efficacy (e.g,, prolongation of survival in Drosophila, induced motor neurons, and TDP-43 transgenic mouse models), and safety profiles.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Bispecific Molecular Degraders of Extracellular Proteins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Molecular Degraders of Extracellular Proteins (“MoDEs”) are bispecific molecules that target pathologic circulating proteins and direct them to the liver (or other organ systems) for degradation by the endosomal/lysosomal pathway. Our MoDE platform is being explored for use in a wide range of therapeutic areas, including indications in autoimmune diseases, cancer and infectious disease.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1201" w:right="35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774700</wp:posOffset>
            </wp:positionV>
            <wp:extent cx="5760720" cy="258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Antibody-based Galactose-deficient IgA (“Gd-IgA”) MoDEs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IgA nephropathy (“IgAN”) is the most common primary glomerulonephritis that can progress to renal failure and is characterized by immunoglobulin deposits in the renal mesangium comprised exclusively of the IgA1 subclass. Patients with IgAN have increased serum levels of IgA1 with a hinge region containing truncated galactose-deficient O-linked saccharides (“Gd-IgA”) and can present with a range of symptoms, from hematuria or proteinuria to severe hypertension owing to renal damage. The clinical progression varies, with 30–40% of patients reaching end-stage renal disease 20–30 years after the first clinical presentation. Currently, no IgAN-specific therapies are available and patients are managed with the aim of controlling blood pressure and maintaining renal function.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791845</wp:posOffset>
            </wp:positionV>
            <wp:extent cx="4071620" cy="3694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07162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 xml:space="preserve">Lai, </w:t>
      </w:r>
      <w:r>
        <w:rPr>
          <w:rFonts w:ascii="Times New Roman" w:cs="Times New Roman" w:eastAsia="Times New Roman" w:hAnsi="Times New Roman"/>
          <w:sz w:val="14"/>
          <w:szCs w:val="14"/>
          <w:i w:val="1"/>
          <w:iCs w:val="1"/>
          <w:color w:val="auto"/>
        </w:rPr>
        <w:t>Nat Rev Dis Primers</w:t>
      </w:r>
      <w:r>
        <w:rPr>
          <w:rFonts w:ascii="Times New Roman" w:cs="Times New Roman" w:eastAsia="Times New Roman" w:hAnsi="Times New Roman"/>
          <w:sz w:val="14"/>
          <w:szCs w:val="14"/>
          <w:color w:val="auto"/>
        </w:rPr>
        <w:t xml:space="preserve"> (2016)</w:t>
      </w:r>
    </w:p>
    <w:p>
      <w:pPr>
        <w:spacing w:after="0" w:line="200" w:lineRule="exact"/>
        <w:rPr>
          <w:sz w:val="20"/>
          <w:szCs w:val="20"/>
          <w:color w:val="auto"/>
        </w:rPr>
      </w:pPr>
    </w:p>
    <w:p>
      <w:pPr>
        <w:spacing w:after="0" w:line="2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leveraging our MoDE platform to develop novel bispecific molecules for the treatment of IgA nephropathy (“IgAN”) that remove potentially disease-causing Gd-IgA in patients and prevent harmful kidney deposits. We have taken a published rodent format IgG antibody that recognizes Gd-IgA and converted it into a partially-humanized, liver-targeted degrader MoDE using MATE conjugation (see below) that potently binds Gd-IgA and causes its endocytosis in human liver cells. Further work is ongoing to progress this as a potential IgAN treatment. The Company is evaluating and has not yet finalized potential clinical trial designs, including trial size, and primary and secondary endpoints.</w:t>
      </w:r>
    </w:p>
    <w:p>
      <w:pPr>
        <w:spacing w:after="0" w:line="129"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To broaden our internal efforts, in July 2021, we entered into a development and license agreement with Reliant Glycosciences, LLC ("Reliant") for collaboration on a program with Biohaven Labs’ multifunctional molecules to develop and commercialize conjugated antibodies for therapeutic uses relating to IgAN and other diseases and conditions. Under the Agreement, Reliant was entitled to an upfront payment and will be eligible to receive development milestone payments and royalties on net sales of licensed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Multimodal Antibody Therapy Enhancer Conjugation Technology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 Drug Conjugates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are using the Multimodal Antibody Therapy Enhancer ("MATE") conjugation technology to generate site-specific antibody drug conjugates (“ADC”s) from native IgG1 proteins that we believe will show superior stability in comparison with those using current industry-standard cysteine maleimide conjugation. Our expectation is that the enhanced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stability and expected superior physicochemical properties of these ADCs will lead to increased therapeutic indices (more cytotoxic payload reaching cancer cells and less reaching normal tissues). Over 15 site-specific ADCs using the well validated vcMMAE payload linker system have been prepared and are undergoing biological testing in comparison with industry standard maleimide conjugated ADCs.</w:t>
      </w:r>
    </w:p>
    <w:p>
      <w:pPr>
        <w:spacing w:after="0" w:line="13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proprietary MATE conjugation technology uses a new class of synthetic peptide binders to target the spike protein of SARS-CoV-2 that are then selectively conjugated to commercially available intravenous immunoglobulin. We used published synthetic binders for SARS-CoV2 that had been designed to establish a much wider area and number of contacts</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1440" w:right="439" w:bottom="1440" w:gutter="0" w:footer="0" w:header="0"/>
          <w:type w:val="continuous"/>
        </w:sectPr>
      </w:pPr>
    </w:p>
    <w:bookmarkStart w:id="104" w:name="page105"/>
    <w:bookmarkEnd w:id="104"/>
    <w:p>
      <w:pPr>
        <w:spacing w:after="0" w:line="256" w:lineRule="auto"/>
        <w:rPr>
          <w:sz w:val="20"/>
          <w:szCs w:val="20"/>
          <w:color w:val="auto"/>
        </w:rPr>
      </w:pPr>
      <w:r>
        <w:rPr>
          <w:rFonts w:ascii="Times New Roman" w:cs="Times New Roman" w:eastAsia="Times New Roman" w:hAnsi="Times New Roman"/>
          <w:sz w:val="18"/>
          <w:szCs w:val="18"/>
          <w:color w:val="auto"/>
        </w:rPr>
        <w:t>with the spike protein than other agents like monoclonal antibodies. In February 2021, we announced that BHV-1200 developed with our proprietary MATE platform demonstrated functional binding and neutralization of the SARS-CoV-2 virus, including the strains known as the "English" and "South African" variants (also known as B.1.1.7 and B.1.351, respectively). The preliminary experiments conducted by Biohaven Labs and by an academic collaborator demonstrated that BHV-1200 substantially reduced viral entry into cells. We are currently evaluating BHV-1200 as a clinical candidate for the treatment of COVID-19. The Company is evaluating and has not yet finalized potential clinical trial designs, including trial size, and primary and secondary endpoints.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 Molecule for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121285</wp:posOffset>
            </wp:positionV>
            <wp:extent cx="4697730" cy="5143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469773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BHV-1100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 Recruiting Molecules</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Antibody Recruiting Molecules (“ARMs”) are bispecific molecules that recruit endogenous antibodies to target cancer, virally infected cells, and disease-causing microorganisms for immune-mediated clearance. These molecules are engineered as modular components that are readily interchangeable, giving the platform tremendous flexibility for a variety of indications and therapy areas.</w:t>
      </w:r>
    </w:p>
    <w:p>
      <w:pPr>
        <w:sectPr>
          <w:pgSz w:w="11900" w:h="16838" w:orient="portrait"/>
          <w:cols w:equalWidth="0" w:num="1">
            <w:col w:w="11140"/>
          </w:cols>
          <w:pgMar w:left="320" w:top="120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1201" w:right="439" w:bottom="1440" w:gutter="0" w:footer="0" w:header="0"/>
          <w:type w:val="continuous"/>
        </w:sectPr>
      </w:pPr>
    </w:p>
    <w:bookmarkStart w:id="105" w:name="page106"/>
    <w:bookmarkEnd w:id="105"/>
    <w:p>
      <w:pPr>
        <w:ind w:right="160"/>
        <w:spacing w:after="0" w:line="282" w:lineRule="auto"/>
        <w:rPr>
          <w:sz w:val="20"/>
          <w:szCs w:val="20"/>
          <w:color w:val="auto"/>
        </w:rPr>
      </w:pPr>
      <w:r>
        <w:rPr>
          <w:rFonts w:ascii="Times New Roman" w:cs="Times New Roman" w:eastAsia="Times New Roman" w:hAnsi="Times New Roman"/>
          <w:sz w:val="18"/>
          <w:szCs w:val="18"/>
          <w:color w:val="auto"/>
        </w:rPr>
        <w:t>By recruiting antibodies to coat the disease cell target, ARMs mark it for removal by the body’s innate antibody-mediated immune mechanisms (antibody dependent cellular cytotoxicity and antibody dependent cellular phagocytosis).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80010</wp:posOffset>
            </wp:positionV>
            <wp:extent cx="3429000" cy="2057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34290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Platform advantages</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Similar to biologics, ARMs directly engage patients’ immune system to destroy disease cells by connecting target disease cells with components of the immune system. However, unlike biologics, ARMs are smaller in size than an antibody potentially allowing for enhanced tumor penetration and biodistribution, and may offer manufacturing advantages including enhanced shelf stability.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ARM™ NK Combination Therapy</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ARMs provide target specificity to Natural Killer (“NK”) cell therapies without needing to design chimeric antigen receptors (“CARs”) or other methods of genetic manipulation. NK cells are a type of immune effector cell that can recognize and destroy non-self targets and certain diseased cells. NK cells do not target specific protein epitopes like T cells of the adaptive immune system. Our ARMs are being used to provide antigen target specificity to NK cell therapies (both allogeneic and autologous) with the goal of enhancing efficacy and safety. ARM NK combination therapy directs NK cells to a disease target of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Clinical Trial for BHV-1100 in Newly Diagnosed Multiple Myeloma Patients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initiated dosing in a Phase 1a/1b trial in newly diagnosed multiple myeloma patients. Our ARM, BHV-1100, in combination with autologous cytokine induced memory-like (“CIML”) NK cells and immune globulin (“Ig”), is expected to target and kill multiple myeloma cells expressing the cell surface protein CD38. The trial is supported by compelling preclinical data showing that BHV-1100 enhanced recruitment of autologous CIML NK cells increases killing of multiple myeloma cells.</w:t>
      </w:r>
    </w:p>
    <w:p>
      <w:pPr>
        <w:spacing w:after="0" w:line="12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open-label single center Phase 1a/1b study assesses the safety and tolerability as well as exploratory efficacy endpoints in newly diagnosed multiple myeloma patients who have tested positive for minimal residual disease (“MRD+”) in first remission prior to autologous stem cell transplant (“ASCT”). We expect to enroll 25 newly diagnosed multiple myeloma patients. The primary outcome measures are dose limiting toxicities following combination product administration (time frame: 100 days post-combination product administration) and incidence and severity of side effects related to the combination product (time frame: 100 days post-combination product administration).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0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auto"/>
        </w:rPr>
        <w:t>BHV-1100 Binds CD38 and lg to Create a Targeting Therapy to Kill Multiple Myeloma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wp:posOffset>
            </wp:positionV>
            <wp:extent cx="4886325" cy="2443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488632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BHV-1100 Enhances Recruitment of NK Cells and Increases Killing of Multiple Myeloma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120015</wp:posOffset>
            </wp:positionV>
            <wp:extent cx="4886325" cy="2442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488632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Connecticut License Option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October 2018, we signed an exclusive, worldwide option and license agreement with the University of Connecticut for the development and commercialization rights to UC1MT, a therapeutic antibody targeting extracellular metallothionein ("MT"). Under this agreement, we have the option to acquire an exclusive, worldwide license to UC1MT and its underlying patents to develop and commercialize throughout the world in all human indications.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Extracellular MT has been implicated in the pathogenesis of autoimmune and inflammatory diseases. MTs are a family of low molecular weight, cysteine-rich, metal-binding proteins that have a wide range of functions in cellular homeostasis and immunity. MT has traditionally been considered to be an intracellular protein that can be found in both the cytoplasm and nucleus; however, MT also can be found in extracellular spaces, particularly in disease states involving chronic cellular stress where intracellular MT production is upregulated by inflammatory cytokines, and extracellular MT acts as a danger signal, attracting leukocytes and modulating the immune response. In preclinical studies, UC1MT has been observed to block this extracellular pool of MT and the resulting MT-mediated inflammation and immunomodulation. The Company is evaluating and has not yet finalized potential clinical trial designs, including trial size, and primary and secondary endpoints.</w:t>
      </w:r>
    </w:p>
    <w:p>
      <w:pPr>
        <w:sectPr>
          <w:pgSz w:w="11900" w:h="16838" w:orient="portrait"/>
          <w:cols w:equalWidth="0" w:num="1">
            <w:col w:w="11220"/>
          </w:cols>
          <w:pgMar w:left="320" w:top="12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201"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Artizan Biosciences Inc License Option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2020, we entered into an Option and License Agreement with Artizan Biosciences Inc ("Artizan"), a biotechnology company focused on creating new classes of precision therapies targeting chronic inflammation and immune dysregulation by leveraging the human gut as a drug discovery tool. Pursuant to the agreement, we acquired an option to obtain a royalty-based license from Artizan to manufacture, use and commercialize certain products. Artizan will use the proceeds to continue advancing the preclinical research and development of its lead program for inflammatory bowel disease, which is anticipated to enter the clinic in early 2023, as well as to explore additional disease targets. In November 2021, we announced a collaborative therapeutic discovery and development program in Parkinson’s disease (“PD”), to exploit recent scientific advances in the understanding of pathogenic roles played by the gut microbiome in PD. In June 2022, we and Artizan executed a non-binding indication of interest (“Artizan Side Letter”) which describes terms under which we and Artizan would amend the 2020 Artizan Agreement to eliminate certain milestone payments required by us in exchange for limiting our option to the selection of the first (ARZC-001) licensed product. The Company is evaluating and has not yet finalized potential clinical trial designs, including trial size, and primary and secondary endpoints.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safety, efficacy, convenience, price, the level of generic competition and the availability of coverage and reimbursement from government and other third-party payors.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an experienced manufacturing leadership team that manages our relationships with third party manufacturers. We currently rely, and expect to continue to rely, on third parties for the manufacturing of our product candidates for preclinical and clinical testing, as well as for commercial manufacturing of our products if our product candidates receive marketing approval.</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lead product candidates are small molecules and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intend to develop and, if approved by the FDA, commercialize our product candidates in the United States, and we may enter into distribution or licensing arrangements for commercialization rights for other regions. With respect to the product candidates in our Kv7 ion channel activators, glutamate modulation, MPO inhibition, and myostatin inhibition platforms, we currently intend to build a neurological specialty sales force to manage commercialization for these product candidates, potentially in combination with a larger pharmaceutical partner, to maximize patient coverage in the United States and to support global expansion.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197" w:right="339" w:bottom="1440" w:gutter="0" w:footer="0" w:header="0"/>
        </w:sectPr>
      </w:pPr>
    </w:p>
    <w:bookmarkStart w:id="108" w:name="page109"/>
    <w:bookmarkEnd w:id="108"/>
    <w:p>
      <w:pPr>
        <w:ind w:right="100"/>
        <w:spacing w:after="0" w:line="282" w:lineRule="auto"/>
        <w:rPr>
          <w:sz w:val="20"/>
          <w:szCs w:val="20"/>
          <w:color w:val="auto"/>
        </w:rPr>
      </w:pPr>
      <w:r>
        <w:rPr>
          <w:rFonts w:ascii="Times New Roman" w:cs="Times New Roman" w:eastAsia="Times New Roman" w:hAnsi="Times New Roman"/>
          <w:sz w:val="18"/>
          <w:szCs w:val="18"/>
          <w:color w:val="auto"/>
        </w:rPr>
        <w:t>Members of our management team and board of directors have deep experience leading neuroscience research and have been involved in the development and commercialization of drugs such as Abilify, Opdivo and, most recently, Nurtec ODT.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SpinCo’s chief executive officer, Vlad Coric, has been the Chief Executive Officer of RemainCo since 2015, leading RemainCo’s development and successful commercial launch of Nurtec ODT (rimegepant) in the U.S., which received FDA approval for the acute and preventative treatment of migraine in February 2020 and May 2021, respectively. Under Dr. Coric’s leadership, RemainCo has entered into several strategic arrangements, including its Collaboration and License agreement with Pfizer, Inc. for the development of rimegepant and zavegepant outside of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own or license patents in the U.S. and foreign countries that protect our products, their methods of use and manufacture, as well as other innovations relating to the advancement of our science to help bring new therapies to patients. We also develop brand names and trademarks for our products to differentiate them in the marketplace. We consider the overall protection of our patents, trademarks, licenses and other intellectual property rights to be of material value and act to protect these rights from infringement. We also rely on trade secrets to protect aspects of our business that are not amenable to, or that we do not consider appropriate for, patent protection. 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the proprietary position of our products and development programs.</w:t>
      </w:r>
    </w:p>
    <w:p>
      <w:pPr>
        <w:spacing w:after="0" w:line="13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the biopharmaceutical industry, a substantial portion of an innovative product’s commercial value is usually realized during the period in which the product has market exclusivity. A product’s market exclusivity is generally determined by two forms of intellectual property: patent rights held by the innovator company and any regulatory forms of exclusivity to which the innovative drug is entitled.</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Patents are a key determinant of market exclusivity for most pharmaceuticals. Patents provide the innovator with the right to exclude others from practicing an invention related to the medicine. Patents may cover, among other things, the active ingredient(s), various uses of a drug product, discovery tools, pharmaceutical formulations, drug delivery mechanisms and processes for (or intermediates useful in) the manufacture of products. Protection for individual products extends for varying periods in accordance with the expiration dates of patents in the various countries. The protection afforded, which may also vary from country to country, depends upon the type of patent, its scope of coverage and the availability of meaningful legal remedies in the country.</w:t>
      </w:r>
    </w:p>
    <w:p>
      <w:pPr>
        <w:spacing w:after="0" w:line="133"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Market exclusivity can also be influenced by regulatory data protection ("RDP"). Many developed countries provide certain non-patent incentives for the development of medicines. For example, in the U.S., the EU, United Kingdom, Japan, and certain other countries, RDP intellectual property rights are offered to: (i) provide a time period of data protection during which a generic company is not allowed to rely on the innovator’s data in seeking approval;</w:t>
      </w:r>
    </w:p>
    <w:p>
      <w:pPr>
        <w:spacing w:after="0" w:line="2" w:lineRule="exact"/>
        <w:rPr>
          <w:sz w:val="20"/>
          <w:szCs w:val="20"/>
          <w:color w:val="auto"/>
        </w:rPr>
      </w:pPr>
    </w:p>
    <w:p>
      <w:pPr>
        <w:ind w:right="20" w:firstLine="8"/>
        <w:spacing w:after="0" w:line="260" w:lineRule="auto"/>
        <w:tabs>
          <w:tab w:leader="none" w:pos="2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patent term lost during drug development and approval; and (iii) provide incentives for research on medicines for rare diseases, or orphan drugs, and on medicines useful in treating pediatric patients. These incentives can extend the market exclusivity period on a product beyond the patent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many U.S. and foreign patents and patent applications in our portfolio related to the composition of matter, methods of use, methods of manufacture or formulations of our product candidates which have been filed in major markets throughout the world, including the U.S., Europe, Japan, Korea, China, Hong Kong and Australia.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Kv7</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2022, we acquired Channel Biosciences, LLC. This acquisition included Channel’s Kv7 channel targeting platform and related patents and patent applications. The patents and patent applications are directed to the composition of matter of compounds that are activators of Kv7.2/Kv7.3 and their use in treating diseases such as epilepsy. U.S. Patent 10,851,067 (the “‘067 Patent”), issued December 1, 2020, specifically claims BHV-7000 and will expire in March 2039, not including possible patent term extensions. Ex-U.S. counterparts to the ‘067 patent are pending in Australia, Brazil, Canada, China, European Union, United Kingdom, Hong Kong, Israel, India, Japan, Republic of Korea, Mexico, New Zealand, Singapore and South Africa. If granted, the ex-U.S. patents will expire in March 2039, not including possible patent term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201" w:right="359" w:bottom="1440" w:gutter="0" w:footer="0" w:header="0"/>
        </w:sectPr>
      </w:pPr>
    </w:p>
    <w:bookmarkStart w:id="109" w:name="page110"/>
    <w:bookmarkEnd w:id="109"/>
    <w:p>
      <w:pPr>
        <w:spacing w:after="0" w:line="261" w:lineRule="auto"/>
        <w:rPr>
          <w:sz w:val="20"/>
          <w:szCs w:val="20"/>
          <w:color w:val="auto"/>
        </w:rPr>
      </w:pPr>
      <w:r>
        <w:rPr>
          <w:rFonts w:ascii="Times New Roman" w:cs="Times New Roman" w:eastAsia="Times New Roman" w:hAnsi="Times New Roman"/>
          <w:sz w:val="18"/>
          <w:szCs w:val="18"/>
          <w:color w:val="auto"/>
        </w:rPr>
        <w:t>extensions in countries where such extensions are available. In addition, U.S. Patent 9,481,653 (the “‘653 patent”), issued November 1, 2016, claims a class of compounds including BHV-7000 and will expire in September 2035, not including possible patent term extensions. Ex-US counterparts to the ‘653 patent are granted in Belgium, Switzerland, Germany, Denmark, Spain, Finland, France, United Kingdom, Ireland, Iceland, Italy, Netherlands, Norway and Sweden. The ex-U.S. patents will expire in September 2035, not including possible patent term extensions in countries where such extensions are available.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Troriluzole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own a portfolio of patents and patent applications in the U.S. and foreign countries directed to prodrugs of riluzole, including, among others, U.S. Patent 10,485,791, issued November 26, 2019, which is directed to troriluzole and other prodrugs of riluzole. This patent expires in February 2036, not including possible patent term extensions. Ex-US counterparts to the ‘791 patent have been granted in Albania, Armenia, Austria, Australia, Azerbaijan, Belgium, Bulgaria, Belarus, Canada, Switzerland, China, Cyprus, Czechia, Germany, Denmark, Estonia, Spain, Finland, France, United Kingdom, Greece, Hong Kong, Croatia, Hungary, Ireland, Israel, Italy, Japan, Kyrgyzstan, Kazakhstan, Lithuania, Luxembourg, Latvia, Monaco, North Macedonia, Malta, Mexico, Netherlands, Norway, Philippines, Poland, Portugal, Romania, Serbia, Russia, Sweden, Slovenia, Slovakia, Tajikistan, Turkmenistan, Turkey and South Africa, and patent applications are pending in Brazil, India, Republic of Korea, Macao and Singapore. The ex-US patents and patent applications will expire in February 2036, not including possible patent term extensions in countries where such extensions are available. In addition, the use of these compounds for treating OCD, ALS, SCA, depression, Alzheimer’s Disease and other diseases are described and claimed in these patents and patent applications. We own these patent applications subject to an agreement with ALS Biopharma and FCCDC. In addition, we have filed patent applications relating to drug product formulations containing trorilizole and methods of using the formulations to treat various diseases, including, for example, the use of troriluzole with immunotherapies to treat cancer, including among others U.S. Patent 11,400,155, issued August 2, 2022, which expires in May 2037, not including possible patent term extensions. Ex-US counterparts to the ‘155 patent have been granted in Albania, Austria, Australia, Belgium, Bulgaria, Switzerland, China, Cyprus, Czechia, Germany, Denmark, Estonia, Spain, Finland, France, United Kingdom, Greece, Hong Kong, Croatia, Hungary, Ireland, Italy, Republic of Korea, Lithuania, Luxembourg, Latvia, Monaco, North Macedonia, Malta, Netherlands, Norway, Poland, Portugal, Romania, Serbia, Sweden, Slovenia and Slovakia and patent applications are pending in Brazil, Canada, India, Israel, Japan, Mexico, Philippines, Singapore and South Africa. The ex-US patents and patent applications will expire in May 2037, not including possible patent term extensions in countries where such extensions are available.</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2018, we in-licensed patents from AstraZeneca relating to the composition of matter of verdiperstat, pharmaceutical compositions and various neurological diseases including muscular system atrophy. U.S. Patent 7,829,707, issued November 9, 2010, U.S. Patent 8,859,568, issued October 14, 2014, and U.S. Patent 9,580,429, issued February 28, 2017, are directed to compositions of matter of verdiperstat and other compounds, pharmaceutical compositions of verdiperstat and methods of treating diseases. The U.S. patents expire in December 2025 not including patent term adjustments and extensions. Ex-US counterparts to the U.S. patents have been granted in Australia, Canada, Switzerland, China, Germany, Spain, France, United Kingdom, Hong Kong, India, Italy, Japan, Republic of Korea, Mexico, Russia, Sweden, and Turkey, and a patent application is pending in Brazil. The ex-US patents and patent applications will expire in December 2025, not including possible patent term extensions in countries where such extensions are available. U.S. Serial No. 17/766539, filed April 5, 2022, is directed to novel prodrug forms of verdiperstat. Ex-US counterparts to the ‘539 application have been filed in Australia, Brazil, Canada, China, European Union, United Kingdom, Israel, India, Japan, Republic of Korea, Mexico, New Zealand, Singapore and South Africa. The ex-US patents and patent applications will expire in October 2040, not including possible patent term extensions in countries where such extensions are available.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MoDEs Platform, ARMs, MATEs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2021, we entered into a worldwide, exclusive license agreement with Yale University for the development and commercialization of a novel Molecular Degrader of Extracellular Protein platform. The platform pertains to the clearance of disease-causing protein and other biomolecules by targeting them for lysosomal degradation using multi-functional molecules. The platform is differentiated from existing approaches in that it does not rely on ubiquitin ligases, and it allows for a broad range of targets to be degraded. The patent portfolio is directed to the composition of matter of bifunctional degraders and their use in degrading circulating proteins and treating diseases. U.S. Serial No. 17/046221, which relates to bifunctional small molecules to target selective degradation of circulating proteins, filed October 8, 2020, was filed in the United States, China, European Union and Hong Kong and, if granted, will expire in April 2039, not including possible patent term extensions in countries where such extensions are available. U.S. Serial No. 17/768166, filed April 11, 2022, which relates to bifunctional compounds as degraders of autoantibodies, was filed in the United States, United Arab Emirates,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01" w:right="339" w:bottom="1440" w:gutter="0" w:footer="0" w:header="0"/>
        </w:sectPr>
      </w:pPr>
    </w:p>
    <w:bookmarkStart w:id="110" w:name="page111"/>
    <w:bookmarkEnd w:id="110"/>
    <w:p>
      <w:pPr>
        <w:spacing w:after="0" w:line="253" w:lineRule="auto"/>
        <w:rPr>
          <w:sz w:val="20"/>
          <w:szCs w:val="20"/>
          <w:color w:val="auto"/>
        </w:rPr>
      </w:pPr>
      <w:r>
        <w:rPr>
          <w:rFonts w:ascii="Times New Roman" w:cs="Times New Roman" w:eastAsia="Times New Roman" w:hAnsi="Times New Roman"/>
          <w:sz w:val="18"/>
          <w:szCs w:val="18"/>
          <w:color w:val="auto"/>
        </w:rPr>
        <w:t>Australia, Brazil, Canada, China, European Union, Israel, Japan, Republic of Korea, Mexico, Philippines, Saudi Arabia, Singapore, and South Africa and, if granted, will expire in October 2040, not including possible patent term extensions in countries where such extensions are available. U.S. Serial No. 17/046192, filed October 8, 2020, which relates to bifunctional molecules to degrade circulating proteins, was filed in the United States, European Union and Hong Kong, and, if granted, will expire in April 2039, not including possible patent term extensions in countries where such extensions are available. U.S. Serial No. 17/768145, filed April 11, 2022, which relates to engineered antibodies as molecular degraders through cellular receptors, was filed in the United States, United Arab Emirates, Australia, Brazil, Canada, China, countries of the Eurasian Patent Organization, European Union, Israel, India, Japan, Republic of Korea, Mexico, New Zealand, Philippines, Saudi Arabia, South Africa and Singapore and, if granted, will expire in October 2040, not including possible patent term extensions in countries where such extensions are available. PCT/US2022/017319, filed February 22, 2022, which relates to targeted bifunctional degraders, is pending in the United States Receiving Office of the Patent Cooperation Treaty and all countries were designated for filing. The patent applications, if granted, will expire in February 2042, not including possible patent term extensions in countries where such extensions are available. PCT/US2022/019658, which relates to bifunctional degraders of galactose deficient immunoglobulins, filed March 10, 2022, is pending in the United States Receiving Office of the Patent Cooperation Treaty and all countries were designated for filing. The patent applications, if granted, will expire in March 2042, not including possible patent term extensions in countries where such extensions are available.</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acquired Kleo Pharmaceuticals, Inc. in January 2021. This acquisition included Kleo’s proprietary technology platforms which are modular in design and enable rapid generation of novel immunotherapies that can be optimized against specified biological targets and combined with existing cell- or antibody-based therapies. These include Antibody Recruiting Molecules and Monoclonal Antibody Therapy Enhancers, which complement the MoDEs technology licensed from Yale. U.S. Serial No. 17/769924, filed November 19, 2020, which relates to directed conjugation technologies, was filed in the United States, United Arab Emirates, Australia, Brazil, Canada, China, countries of the Eurasian Patent Organization, European Union, Israel, India, Japan, Republic of Korea, Mexico, New Zealand, Philippines, Saudi Arabia, South Africa and Singapore and, if granted, will expire in November 2040, not including possible patent term extensions in countries where such extensions are available. PCT/US2021/024186, filed March 25, 2021, which relates to technologies for treating COVID infections, is pending in the United States Receiving Office of the Patent Cooperation Treaty and all countries were designated for filing. The patent applications, if granted, will expire in March 2042, not including possible patent term extensions in countries where such extensions are available. PCT/US2022/015390, filed February 6, 2022, which relates to technologies for preventing or treating infections, is pending in the United States Receiving Office of the Patent Cooperation Treaty and all countries were designated for filing. The patent applications, if granted, will expire in February 2042, not including possible patent term extensions in countries where such extensions are available. PCT/US2022/029533, filed May 17, 2022, which relates to compositions including conjugated therapy enhancers, is pending in the United States Receiving Office of the Patent Cooperation Treaty and all countries were designated for filing. The patent applications, if granted, will expire in May 2042, not including possible patent term extensions in countries where such extensions are available. PCT/US2022/029535, filed May 17, 2022, which relates to agents for directed conjugation techniques and conjugated products, is pending in the United States Receiving Office of the Patent Cooperation Treaty and all countries were designated for filing. The patent applications, if granted, will expire in May 2042, not including possible patent term extensions in countries where such extensions are available. PCT/US2022/030070, filed May 19, 2022, which relates to antibody drug conjugates using MATE technology for delivering cytotoxic agents, is pending in the United States Receiving Office of the Patent Cooperation Treaty and all countries were designated for filing. The patent applications, if granted, will expire in May 2042, not including possible patent term extensions in countries where such extensions are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TDP-43</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pending patent applications covering the composition of matter of compounds targeting TDP-43 in neurodegeneration. TDP-43, TAR-DNA protein-43, is a multifunctional nucleic acid-binding protein that is implicated in neurodegeneration. Mutations in the gene that encodes for TDP-43 cause familial and sporadic amyotrophic lateral sclerosis (“ALS”) and frontotemporal dementia (“FTD”). Cytoplasmic TDP-43 aggregates are the neuropathological hallmark of ALS-FTD spectrum disorders. U.S. Serial No. 17/635421, filed February 15, 2021, which relates to compounds that target TDP-43, was filed in the United States, Australia, Brazil, Canada, China, countries of the Eurasian Patent Organization, European Union, Israel, India, Japan, Republic of Korea, Mexico, Philippines, South Africa and Singapore and, if granted, will expire in August 2040, not including possible patent term extensions in countries where such extensions are available. PCT/US2022/017116, filed February 20, 2022, which relates to compounds that target TDP-43 for the treatment of ALS and related disorders, is pending in the United States Receiving Office of the Patent Cooperation Treaty and all countries were designated for filing. The patent applications, if granted, will expire in February 2042, not including possible patent term extensions in countries where such extensions are available.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00"/>
          </w:cols>
          <w:pgMar w:left="320" w:top="1201"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IBD and Parkinson’s Disease</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December 2020, we entered into an option and license agreement with Artizan Biosciences directed toward the development and commercialization of novel treatments for inflammatory bowel disease (“IBD”) and other gastrointestinal inflammatory disorders, e.g., Crohn’s disease, in the U.S. Under the terms of the agreement, we have the rights to exercise an option on up to three product candidates. In June 2021, we entered into a separate worldwide, exclusive license agreement under the IgA-SEQ patented technology with Artizan to develop and commercialize certain of their compounds for use in Parkinson’s Disease. U.S. Patent 9,758,838, issued September 12, 2017, U.S. Patent 10,428,392, issued October 1, 2019, U.S. Patent 10,774,392, issued September 15, 2020, and U.S. Patent 11,299,790, issued April 12, 2022, relate to compositions and methods for identifying secretory antibody microbes. These patents expire in March 2034, not including possible patent term extensions. U.S. Patent 10,925,953, issued February 23, 2021, Serial No. 15/507357, which relates to compositions and methods for treating an inflammatory disease or disorder, was also filed in the European Union, will expire in August 2035, not including possible patent term extensions. U.S. Serial No. 17/253333, filed July 3, 2019, which relates to compositions and methods for treating inflammatory diseases, was filed in the United States, United Arab Emirates, Australia, Brazil, Canada, China, European Union, Hong Kong, Israel, Japan, Republic of Korea, Mexico, New Zealand, Russia, South Africa and Singapore and, if granted, will expire in July 2039, not including possible patent term extensions in countries where such extensions are available. PCT/US2021/050048, filed September 13, 2021, which relates to small molecule inhibitors of bacterial toxins, is pending the United States Receiving Office of the Patent Cooperation Treaty and all countries were designated for filing. The counterpart application is also pending in Taiwan. The patent applications, if granted, will expire in September 2041, not including possible patent term extensions in countries where such extensions are available. PCT/US2022/012472, filed January 14, 2022, which relates to compositions and methods for treating and preventing diseases or disorders using inter-species interactions, is pending in the United States Receiving Office of the Patent Cooperation Treaty and all countries were designated for filing.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TRPM3</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January 2022, we entered into an exclusive global license and research agreement to develop and commercialize TRPM3 antagonists to address the growing proportion of people worldwide living with chronic pain disorders. The TRPM3 antagonist platform was discovered at the Centre for Drug Design and Discovery (“CD3”) and the Laboratory of Ion Channel Research (“LICR”) at Katholieke Universiteit Leuven (KU Leuven). PCT/EP2021/082853, filed November 24, 2021, which relates to aryl derivatives for treating TRPM3 mediated disorders, is pending in Taiwan and the European Receiving Office of the Patent Cooperation Treaty and all countries were designated for filing. The patent applications, if granted, will expire in November 2041, not including possible patent term extensions in countries where such extensions are available. PCT/EP2021/082865, filed November 24, 2021, which relates to heterocycle derivatives for treating TRPM3 mediated disorders, is pending in Taiwan and the European Receiving Office of the Patent Cooperation Treaty and all countries were designated for filing. The patent applications, if granted, will expire in November 2041, not including possible patent term extensions in countries where such extensions are available. PCT/EP2021/082858, filed November 24, 2021, which relates to aryl derivatives for treating TRPM3 mediated disorders, is pending in Taiwan and the European Receiving Office of the Patent Cooperation Treaty and all countries were designated for filing. The patent applications, if granted, will expire in November 2041, not including possible patent term extensions in countries where such extensions are available. PCT/EP2021/082867, filed November 24, 2021, which relates to heterocycle derivatives for treating TRPM3 mediated disorders, is pending in Taiwan and the European Receiving Office of the Patent Cooperation Treaty and all countries were designated for filing. The patent applications, if granted, will expire in November 2041, not including possible patent term extensions in countries where such extensions are available. U.S. Patent 9,194,863, issued November 24, 2015, which relates to screening methods for analgesic agents, has also been granted in Belgium, Switzerland, Germany, Denmark, Spain, Finland, France, United Kingdom, Ireland, Israel, Italy, Netherlands and Sweden. The patents, will expire in May 2032, not including possible patent term extensions in countries where such extensions are available.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Myostatin</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worldwide license agreement with Bristol Myers Squibb for the global development and commercialization rights to taldefgrobep alfa, a novel, Phase 3-ready anti-myostatin adnectin. Myostatin is a natural protein that limits skeletal muscle growth, an important process in healthy muscular development.</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U.S. Patent 8,853,154 issued October 7, 2014, U.S. Patent 8,933,199, issued January 13, 2015, U.S. Patent 8,933,265, issued March 31, 2015, U.S. Patent 9,493,546, issued November 15, 2016, U.S. Patent 9,662,373, issued May 30, 2017, U.S. Patent 10,245,302, issued April 2, 2019, and U.S. Patent 10,406,212, issued September 10, 2019, are directed to fibronectin based scaffold domain proteins that bind to myostatin. The U.S. patents expire in September 2033, not including possible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99" w:right="339" w:bottom="1440" w:gutter="0" w:footer="0" w:header="0"/>
        </w:sectPr>
      </w:pPr>
    </w:p>
    <w:bookmarkStart w:id="112" w:name="page113"/>
    <w:bookmarkEnd w:id="112"/>
    <w:p>
      <w:pPr>
        <w:spacing w:after="0" w:line="254" w:lineRule="auto"/>
        <w:rPr>
          <w:sz w:val="20"/>
          <w:szCs w:val="20"/>
          <w:color w:val="auto"/>
        </w:rPr>
      </w:pPr>
      <w:r>
        <w:rPr>
          <w:rFonts w:ascii="Times New Roman" w:cs="Times New Roman" w:eastAsia="Times New Roman" w:hAnsi="Times New Roman"/>
          <w:sz w:val="18"/>
          <w:szCs w:val="18"/>
          <w:color w:val="auto"/>
        </w:rPr>
        <w:t>patent term extensions. Ex-US counterparts to the U.S. patents have been granted in Argentina, Austria, Australia, Belgium, Bulgaria, Brazil, Canada, Switzerland, Chile, China, Colombia, Czechia, Germany, Denmark, Algeria, Egypt, Spain, Finland, France, United Kingdom, Greece, Hong Kong, Croatia, Hungary, Indonesia, Ireland, Israel, India, Italy, Japan, Republic of Korea, Lithuania, Morocco, Macao, Mexico, Malaysia, Netherlands, Norway, New Zealand, Peru, Philippines, Poland, Portugal, Romania, Serbia, Russia, Sweden, Singapore, Slovenia, Slovakia, Thailand, Tunisia, Turkey, Taiwan, Uruguay, Venezuela, Vietnam and South Africa. The ex-US patents will expire in September 2033, not including possible patent term extensions in countries where such extensions are available. U.S. Serial No. 16/607688, filed May 3, 2018, which relates to stable formulations fibronectin based scaffold domain proteins that bind to myostatin, was filed in the United States, Australia, Canada, China, European Union, Hong Kong, Israel, Japan, Republic of Korea, Mexico, Singapore and Taiwan and, if granted, will expire in May 2038, not including possible patent term extensions in countries where such extensions are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is a summary of all license agreements that the Company has entered into. As of June 30, 2022, the Company has potential future developmental, regulatory, and commercial milestone payments under these agreements of up to approximately $123.9 million, $412.1 million, and $533.8 million, respectively. As of June 30, 2022 the Company has not made any developmental, regulatory, or commercial milestone payments under these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ALS Biopharma, LLC and Fox Chase Chemical Diversity Center Inc.</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2015, we entered into an agreement (the "ALS Biopharma Agreement") with ALS Biopharma and Fox Chase Chemical Diversity Center Inc. ("FCCDC"), pursuant to which ALS Biopharma and FCCDC assigned to us their worldwide patent rights to over 300 prodrugs of glutamate modulating agents, including troriluzole, as well as other innovative technologies. Under the ALS Biopharma Agreement, we are obligated to use commercially reasonable efforts to commercialize and develop markets for the products covered by the ALS patents. The Company is obligated to pay up to $4.0 million in aggregate potential milestones under the ALS Biopharma Agreement, comprised of $3.0 million upon the achievement of specified regulatory milestones with respect to the first licensed product and $1.0 million upon the achievement of specified regulatory milestones with respect to subsequently developed products.We are also obligated to pay royalty payments of a low single-digit percentage based on net sales of products licensed under the agreement, payable on a quarterly basis.</w:t>
      </w:r>
    </w:p>
    <w:p>
      <w:pPr>
        <w:spacing w:after="0" w:line="1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ALS Biopharma Agreement terminates on a country-by-country basis as the last patent rights expire in each such country and can also be terminated if certain events occur, e.g., material breach or insolvency.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License Agreement with AstraZeneca</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October 2016, we entered into an exclusive license agreement (the "2016 AstraZeneca Agreement") with AstraZeneca, pursuant to which AstraZeneca granted us a license to certain patent rights for the commercial development, manufacture, distribution and use of any products or processes resulting from development of those patent rights, including BHV-5500. In exchange for these rights, we agreed to pay AstraZeneca an upfront payment, milestone payments and royalties on net sales of licensed products under the agreement. The regulatory milestones due under the 2016 AstraZeneca Agreement depend on the indication of the licensed product being developed as well as the territory where regulatory approval is obtained.</w:t>
      </w:r>
    </w:p>
    <w:p>
      <w:pPr>
        <w:spacing w:after="0" w:line="12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Company is obligated to pay up to $210.0 million in aggregate potential milestones under the 2016 AstraZeneca Agreement, comprised of development milestones with respect to Rett syndrome of up to $30.0 million, development milestones for any indication other than Rett syndrome up to $60.0 million, and commercial milestones based on net sales of all products licensed under the agreement that total up to $120.0 million. We have also agreed to pay royalties in two tiers, with each tiered royalty in the range from 0-10% of net sales of products licensed under the agreement. If we receive revenue from sublicensing any of its rights under the 2016 AstraZeneca Agreement, we are also obligated to pay a portion of that revenue to AstraZeneca. We are also responsible for the filing, prosecution, defending, and maintenance of patent rights licensed under the 2016 AstraZeneca Agreement.</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2016 AstraZeneca Agreement expires upon the expiration of the patent rights under the agreement or on a country-by-country basis ten years after the first commercial sale and can also be terminated if certain events occur, e.g., material breach or insolvency. In July 2019, RemainCo assigned its rights and obligations under the 2016 AstraZeneca Agreement to our subsidiary, Biohaven Therapeutics Ltd (“BTL”).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20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2018 License Agreement with AstraZeneca</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2018, we entered into an exclusive license agreement (the "2018 AstraZeneca Agreement") with AstraZeneca, pursuant to which AstraZeneca granted us a license to certain patent rights for the commercial development, manufacture, distribution and use of any products or processes resulting from development of those patent rights, including BHV-3241. Under the 2018 AstraZeneca Agreement, we paid AstraZeneca an upfront cash payment of $3.0 million and issued 109,523 shares valued at $4.0 million on the date of settlement. The Company is obligated to pay up to $105.0 million in aggregate potential milestone under the 2018 AstraZeneca Agreement, comprised of regulatory milestones totaling up to $55.0 million and commercial milestones totaling up to $50.0 million. In addition, we will pay AstraZeneca royalties in three tiers, with each tiered royalty in the range from 0-10% of net sales of specified approved products, subject to specified reductions. Verdiperstat is currently being studied in the HEALEY ALS Platform Trial, which is the first-ever platform trial in ALS designed to evaluate multiple investigational treatments simultaneously, thus accelerating the development of effective and breakthrough treatments for people living with ALS. We are solely responsible, and have agreed to use commercially reasonable efforts, for all development, regulatory and commercial activities related to verdiperstat. We may sublicense its rights under the agreement and, if we do so, will be obligated to pay a portion of any milestone payments received from the sublicense to AstraZeneca in addition to any milestone payments we would otherwise be obligated to pay.</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2018 AstraZeneca Agreement terminates on a country-by-country basis and product-by-product basis upon the expiration of the royalty term for such product in such country and can also be terminated if certain events occur, e.g., material breach or insolvency. Each royalty term begins on the date of the first commercial sale of the licensed product in the applicable country and ends on the later of 10 years from such first commercial sale or the expiration of the last to expire of the applicable patents in that country.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Catalent U.K. Swindon Zydis Limited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2015, we entered into a development and license agreement with Catalent, pursuant to which we obtained certain license rights to the Zydis ODT technology in BHV-0223. We made an upfront payment of $0.3 million to Catalent upon entering into the agreement and we are obligated to pay Catalent aggregate potential milestones up to $1.6 million under the agreement, comprised of $0.8 million in regulatory milestones and $0.8 million in commercial milestones. We are also obligated to make royalty payments of a low single-digit percentage based on net sales of products licensed under the agreement. In July 2019, RemainCo assigned all rights and obligations under this agreement to our subsidiary, BTL.</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development and license agreement terminates on a country-by-country basis upon the later of (i) 10 years after the launch of the most recently launched product in such country and (ii) the expiration of the last valid claim covering each product in such country, unless earlier voluntarily terminated by us. The agreement automatically extends for one-year terms unless either party gives advance notice of intent to terminate. In addition, Catalent may terminate the agreement either in its entirety or terminate the exclusive nature of the agreement on a country-by-country basis if we fail to meet specified development timelines, which we may extend in certain circumstances.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Yale University for Riluzole and Troriluzole</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(the "Yale Agreement") with Yale University to obtain a license to certain patent rights and know-how for the commercial development, manufacture, distribution, use and sale of products and processes resulting from the development of those patent rights, related to the use of riluzole in treating various neurological conditions, such as general anxiety disorder, post-traumatic stress disorder and depression. As part of the consideration for this license, RemainCo issued Yale 250,000 common shares and granted Yale the right to purchase up to 10% of the securities issued in specified future equity offerings by RemainCo, in addition to the obligation to issue shares to prevent anti-dilution. The obligation to contingently issue equity to Yale was no longer outstanding as of December 31, 2018.</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Yale Agreement was amended and restated, and assigned to BTL, in May 2019. As amended, the Company is obligated to pay up to $2.0 million in specified potential regulatory milestones. We are also obligated to pay annual royalty payments of a low single-digit percentage based on net sales of riluzole-based products from the licensed patents or from products based on troriluzole. Under the amended and restated agreement, the royalty rates are reduced as compared to the original agreement. In addition, under the amended and restated agreement, we may develop products based on riluzole or troriluzole. The amended and restated agreement retains a minimum annual royalty of up to $1.0 million per year, beginning after the first sale of product under the agreement. If we grant any sublicense rights under the Yale Agreement, we must pay Yale a low single-digit percentage of sublicense income that it receives.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19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License Agreement with Yale University for MoDE Platform</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2021, we entered a worldwide, exclusive license agreement with Yale University for the development and commercialization of a novel Molecular Degrader of Extracellular Protein ("MoDE") platform (the "Yale MoDE Agreement"). Under the license agreement, we acquired exclusive, worldwide rights to Yale's intellectual property directed to its MoDE platform. The platform pertains to the clearance of disease-causing protein and other biomolecules by targeting them for lysosomal degradation using multi-functional molecules. As part of consideration for this license, we paid Yale University an upfront cash payment of $1.0 million and issued 11,668 common shares valued at approximately $1.0 million. Under the agreement, we may develop products based on the MoDE platform. The agreement includes an obligation to pay a minimum annual royalty of up to $1.0 million per year, and low single digit royalties on the net sales of licensed products. If we grant any sublicense rights under the Yale Agreement, we must pay Yale a low single-digit percentage of sublicense income that it receives. The Company is obligated to pay aggregate potential milestones of up to $3.8 million under the Yale MoDE Agreement, comprised of development milestones of up to $0.8 million and commercial milestones of up to $3.0 million. The agreement terminates on the later of twenty years from the effective date, twenty years from the filing date of the first investigational new drug application for a licensed product or the last to expire of a licensed patent and can also be terminated if certain events occur, e.g., material breach or insolvency.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University of Connecticut</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2018, we announced we signed an exclusive, worldwide option and license agreement (the “UConn Agreement”) with the University of Connecticut (“UConn”), for the development and commercialization rights to UC1MT, a therapeutic antibody targeting extracellular metallothionein. Under this agreement, we have the option to acquire an exclusive, worldwide license to UC1MT and its underlying patents to develop and commercialize throughout the world in all human indications. If we choose to exercise the option, we would be obligated to pay UConn upon the achievement of specified regulatory and commercial milestones, and royalties of a low single-digit percentage of net sales of licensed products sold by the Company, its affiliates or its sublicenses. We are not currently obligated to pay any milestones under the UConn Agreement, as we have not elected to exercise the option described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 Chase Chemical Diversity Center Inc. Agreement</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2019, we entered into an agreement with the FCCDC in which we purchased certain intellectual property relating to the TDP-43 protein from FCCDC. The FCCDC Agreement provides us with a plan to identify one or more new chemical entity candidates for preclinical development for eventual clinical evaluation for the treatment of one or more TDP-43 proteinopathies. As consideration, RemainCo issued 100,000 of its common shares to FCCDC valued at $5.6 million. In addition, we are obligated to pay FCCDC milestone payments totaling up to $4.5 million with $1.0 million for each additional NDA filing. RemainCo also issued a warrant to FCCDC, granting FCCDC the option to purchase up to 100,000 of our common shares, at a strike price of $56.46 per share, subject to vesting upon achievement of certain milestones in development of TD-43.</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FCCDC Agreement, we and FCCDC have established a TDP-43 Research Plan, which was amended in November 2020, that provides for certain milestones to be achieved by FCCDC, and milestone payments to be made by us up to approximately $3.8 million over a period of up to 30 months as success fees for research activities by FCCDC. In addition to the milestone payments, we will pay FCCDC an earned royalty equal to 0% to 10% of net sales of any TD-43 patent products with a valid claim as defined in the FCCDC Agreement. We may also license the rights developed under the FCCDC Agreement and, if we do so, will be obligated to pay a portion of any payments received from such licensee to FCCDC in addition to any milestones we would otherwise be obligated to pay. We are also responsible for the prosecution and maintenance of the patents related to the TDP-43 assets.</w:t>
      </w:r>
    </w:p>
    <w:p>
      <w:pPr>
        <w:spacing w:after="0" w:line="13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aggregate, the Company is obligated to pay potential milestones of up to $8.3 million under the FCCDC Agreement, comprised of development milestones up to $3.8 million and regulatory milestones up to $4.5 million, as described above.</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FCCDC Agreement terminates on a country-by-country basis and product-by-product basis upon expiration of the royalty term for such product in such country and can also be terminated if certain events occur, e.g., material breach or insolvency.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Artizan Agreements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December 2020, we entered into an Option and License Agreement with Artizan Biosciences Inc (the "2020 Artizan Agreement"). Pursuant to the 2020 Artizan Agreement, we acquired an option (“Option”) to obtain a royalty-based license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199" w:right="379" w:bottom="1440" w:gutter="0" w:footer="0" w:header="0"/>
        </w:sectPr>
      </w:pPr>
    </w:p>
    <w:bookmarkStart w:id="115" w:name="page116"/>
    <w:bookmarkEnd w:id="115"/>
    <w:p>
      <w:pPr>
        <w:spacing w:after="0" w:line="256" w:lineRule="auto"/>
        <w:rPr>
          <w:sz w:val="20"/>
          <w:szCs w:val="20"/>
          <w:color w:val="auto"/>
        </w:rPr>
      </w:pPr>
      <w:r>
        <w:rPr>
          <w:rFonts w:ascii="Times New Roman" w:cs="Times New Roman" w:eastAsia="Times New Roman" w:hAnsi="Times New Roman"/>
          <w:sz w:val="18"/>
          <w:szCs w:val="18"/>
          <w:color w:val="auto"/>
        </w:rPr>
        <w:t>from Artizan to manufacture, use and commercialize certain products in the United States for the treatment of diseases, including, for example, inflammatory bowel disease and other gastrointestinal inflammatory disorders, e.g., Crohn’s disease. The Option is exercisable throughout the development phase of the products at an exercise price of approximately $4.0 million to $8.0 million, which varies based on the market potential of the products. We and Artizan have also formed a joint steering committee to oversee, review and coordinate the product development activities with regard to all products for which we have (or have exercised in the future) the Option. We are not currently obligated to pay any milestones under the 2020 Artizan Agreement, as we have not elected to exercise the option described above.</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December 2020, simultaneously with the Option and License Agreement, we entered into a Series A-2 Preferred Stock Purchase Agreement with Artizan. Under the agreement, we paid Artizan 61,494 shares of Biohaven Pharmaceutical Holding Co. Ltd. valued at $6.0 million, which were issued in January 2021. In exchange, we acquired 34,472,031 shares of series A-2 preferred stock of Artizan.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2021, we entered into a Development and License Agreement with Artizan Biosciences Inc (the "2021 Artizan Agreement"). Pursuant to the 2021 Artizan Agreement, we acquired an exclusive, worldwide license under Artizan’s IgA-SEQ patented technology and know-how to develop, manufacture and commercialize certain of Artizan’s compounds for use in Parkinson’s Disease. Under the agreement, we are responsible for funding the development of the compounds, obtaining regulatory approvals, manufacturing the compounds and commercializing the compounds. We are also responsible for the prosecution, maintenance and enforcement of Artizan’s patents. Under the 2021 Artizan Agreement, we are obligated to pay Artizan milestones of $20.0 million for the first licensed compound to achieve U.S. marketing authorization and $10.0 million for each subsequent U.S. approval. In addition, we will pay Artizan commercialization milestones totaling up to $150.0 million and royalties in the low to mid single digits. The 2021 Artizan Agreement terminates on a country-by-country basis on the later of 10 years from the first commercial sale of licensed product in such country or the expiration of Artizan’s patents in such country and can also be terminated if certain events occur, e.g., material breach or insolvency.</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2022, we entered into an Amendment to the Series A-2 Preferred Stock Purchase Agreement with Artizan. Under the Amendment, we made a cash payment of $4.0 million in exchange for 22,975,301 shares of series A-2 preferred stock of Artizan out of a total of 45,950,601 shares of series A-2 preferred stock of Artizan for a total raise of $8.0 million (the “A2 Extension Raise”). Along with the Amendment, we and Artizan executed a non-binding indication of interest (“Artizan Side Letter”) which describes terms under which we and Artizan would amend the 2020 Artizan Agreement to eliminate certain milestone payments required by us in exchange for limiting our option to the selection of the first (ARZC-001) licensed product. The Artizan Side Letter requires Artizan to commit at least 80% of the funds raised in the A-2 Extension Raise to a certain program and to raise $35.0 million of additional capital within a certain time.</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aggregate, the Company is obligated to pay potential milestones of up to $170.0 million, comprised of regulatory milestones up to $20.0 million and commercial milestones up to $150.0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Reliant Agreement</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July 2021, we entered into a development and license agreement with Reliant Biosciences, LLC (the “Reliant Agreement”) pursuant to which we acquired an exclusive, worldwide license under Reliant’s patents and know-how and sublicense under the University of Alabama’s patents and know-how to collaborate on a program to develop and commercialize conjugated antibodies using Biohaven Labs’ multifunctional molecules for therapeutic uses relating to IgA nephropathy and treatment of other diseases and conditions. Under the Reliant Agreement, we paid Reliant an upfront payment in the form of issuance of common shares valued at approximately $3.7 million. In aggregate, we are obligated to pay Reliant potential development and regulatory milestones of up to $36.5 million. Reliant will also be eligible to receive royalties of a low single-digit percentage of net sales of licensed products. The Reliant Agreement terminates four years after the effective date if an IND had not been filed, but otherwise continues on a country-by-country basis on the later of 15 years from the effective date or the expiration of the licensed patent in such country and can also be terminated if certain events occur, e.g., material breach or insolvency.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 Leuven Agreement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an exclusive license and research collaboration agreement (the "KU Leuven Agreement") with Katholieke Universiteit Leuven (“KU Leuven”) to develop and commercialize TRPM3 antagonists to address the growing proportion of people worldwide living with chronic pain disorders. The TRPM3 antagonist platform was discovered at the Centre for Drug Design and Discovery ("CD3") and the Laboratory of Ion Channel Research ("LICR") at KU Leuven. Under the KU Leuven Agreement, we receive exclusive global rights to develop, manufacture and commercialize KU Leuven's portfolio of small-molecule TRPM3 antagonists. The portfolio includes the lead candidate,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1201" w:right="359" w:bottom="1440" w:gutter="0" w:footer="0" w:header="0"/>
        </w:sectPr>
      </w:pPr>
    </w:p>
    <w:bookmarkStart w:id="116" w:name="page117"/>
    <w:bookmarkEnd w:id="116"/>
    <w:p>
      <w:pPr>
        <w:spacing w:after="0" w:line="255" w:lineRule="auto"/>
        <w:rPr>
          <w:sz w:val="20"/>
          <w:szCs w:val="20"/>
          <w:color w:val="auto"/>
        </w:rPr>
      </w:pPr>
      <w:r>
        <w:rPr>
          <w:rFonts w:ascii="Times New Roman" w:cs="Times New Roman" w:eastAsia="Times New Roman" w:hAnsi="Times New Roman"/>
          <w:sz w:val="18"/>
          <w:szCs w:val="18"/>
          <w:color w:val="auto"/>
        </w:rPr>
        <w:t>henceforth known as BHV-2100, which will be the first to advance towards Phase 1 studies. We will support further basic and translational research at KU Leuven on the role of TRPM3 in pain and other disorders. As consideration, we paid KU Leuven an upfront cash payment of $3.0 million and RemainCo issued 15,340 shares valued at $1.8 million. In aggregate, we are obligated to pay KU Leuven potential development, regulatory, and commercialization milestones of up to $327.8 million. In addition, KU Leuven will be eligible to receive mid-single digit royalties on net sales of products resulting from the collaboration. The 2021 KU Leuven Agreement terminates on a country-by-country basis on the later of 12 years from the first commercial sale of licensed product in such country or the expiration of the licensed patents in such country and can also be terminated if certain events occur, e.g., material breach or insolvency.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Taldefgrobep Alfa License Agreement</w:t>
      </w:r>
    </w:p>
    <w:p>
      <w:pPr>
        <w:spacing w:after="0" w:line="17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February 2022, we entered into a license agreement with BMS for the development and commercialization rights to taldefgrobep alfa (also known as BMS-986089), a novel, Phase 3-ready anti-myostatin adnectin (the "Taldefgrobep Alfa License Agreement"). Under the terms of the Taldefgrobep Alfa License Agreement, the Company acquired exclusive, worldwide rights under BMS’ patents and know-how to develop and commercialize taldefgrobep alfa. In aggregate, we are obligated to pay BMS up to $200.0 million of potential milestone payments, comprised of up to $200.0 million for regulatory approval milestones. BMS will also be eligible to receive tiered, sales-based royalty percentages from the high teens to the low twenties. There were no upfront payments to BMS related to the Taldefgrobep Alfa License Agreement. Under the agreement, we are responsible for funding the development of the compounds, obtaining regulatory approvals, manufacturing the compounds and commercializing the compounds. We are also responsible for the prosecution, maintenance and enforcement of BMS’ patents. The Taldefgrobep Alfa License Agreement terminates on a country-by-country basis on the later of 12 years from the first commercial sale of licensed product in such country or the expiration of BMS’ patents in such country or the expiration of regulatory exclusivity and can also be terminated if certain events occur, e.g., material breach or insolvency.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Rutgers University License Agreement</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June 2016, we entered into an exclusive license agreement (the "Rutgers Agreement") with Rutgers, The State University of New Jersey ("Rutgers"), licensing several patents and patent applications related to the use of riluzole to treat various cancers. In April 2022, we provided notice of termination of the Rutgers Agreement which became effective in July 2022. The Rutgers Agreement provided for payments by us to Rutgers of up to $0.8 million in the aggregate upon the achievement of specified clinical and regulatory milestones and royalties of a low single-digit percentage of net sales of licensed products sold by us, its affiliates or its sublicensees, subject to a minimum amount of up to $0.1 million per year.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3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126"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Good Laboratory Practices ("GLP");</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investigational new drug ("IND") application for human clinical testing, which must become effective before human clinical trials commence;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201" w:right="379" w:bottom="1440" w:gutter="0" w:footer="0" w:header="0"/>
        </w:sectPr>
      </w:pPr>
    </w:p>
    <w:bookmarkStart w:id="117" w:name="page118"/>
    <w:bookmarkEnd w:id="117"/>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17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for each indication and conducted in accordance with Good Clinical Practices ("GCP");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submission to the FDA of an NDA;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NDA, which might include an Advisory Committee review;</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or components thereof, are made to assess compliance with current Good Manufacturing Practices ("cGMPs").</w:t>
      </w:r>
    </w:p>
    <w:p>
      <w:pPr>
        <w:spacing w:after="0" w:line="108"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Human Clinical Trials in Support of an NDA</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in vitro and animal studies to gather information on the safety and efficacy of the product candidate. The conduct of preclinical trials is subject to federal regulations and requirements including GLP regulations. The results of the preclinical studies, together with manufacturing information and analytical data, among other things,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may nevertheless initiate a clinical hold after the 30 days if, for example, significant safety risks arise.</w:t>
      </w:r>
    </w:p>
    <w:p>
      <w:pPr>
        <w:spacing w:after="0" w:line="13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GCP requirements. Each clinical trial must be reviewed and approved by an IRB at each of the sites at which the trial will be conducted. The IRB will consider, among other things, ethical factors, the safety of human subjects and the possible liability of the institution.</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prior to approval, but the phases may overlap or be combined. These phases generally include the following:</w:t>
      </w:r>
    </w:p>
    <w:p>
      <w:pPr>
        <w:spacing w:after="0" w:line="106" w:lineRule="exact"/>
        <w:rPr>
          <w:sz w:val="20"/>
          <w:szCs w:val="20"/>
          <w:color w:val="auto"/>
        </w:rPr>
      </w:pPr>
    </w:p>
    <w:p>
      <w:pPr>
        <w:ind w:left="660" w:hanging="323"/>
        <w:spacing w:after="0" w:line="266" w:lineRule="auto"/>
        <w:rPr>
          <w:sz w:val="20"/>
          <w:szCs w:val="20"/>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Phase 1 clinical trials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22" w:lineRule="exact"/>
        <w:rPr>
          <w:sz w:val="20"/>
          <w:szCs w:val="20"/>
          <w:color w:val="auto"/>
        </w:rPr>
      </w:pPr>
    </w:p>
    <w:p>
      <w:pPr>
        <w:jc w:val="both"/>
        <w:ind w:left="660" w:right="120" w:hanging="323"/>
        <w:spacing w:after="0" w:line="266" w:lineRule="auto"/>
        <w:rPr>
          <w:sz w:val="20"/>
          <w:szCs w:val="20"/>
          <w:color w:val="auto"/>
        </w:rPr>
      </w:pPr>
      <w:r>
        <w:rPr>
          <w:rFonts w:ascii="Times New Roman" w:cs="Times New Roman" w:eastAsia="Times New Roman" w:hAnsi="Times New Roman"/>
          <w:sz w:val="18"/>
          <w:szCs w:val="18"/>
          <w:i w:val="1"/>
          <w:iCs w:val="1"/>
          <w:color w:val="auto"/>
        </w:rPr>
        <w:t>Phase 2.</w:t>
      </w:r>
      <w:r>
        <w:rPr>
          <w:sz w:val="20"/>
          <w:szCs w:val="20"/>
          <w:color w:val="auto"/>
        </w:rPr>
        <w:t xml:space="preserve"> </w:t>
      </w:r>
      <w:r>
        <w:rPr>
          <w:rFonts w:ascii="Times New Roman" w:cs="Times New Roman" w:eastAsia="Times New Roman" w:hAnsi="Times New Roman"/>
          <w:sz w:val="18"/>
          <w:szCs w:val="18"/>
          <w:color w:val="auto"/>
        </w:rPr>
        <w:t>Phase 2 clinical trials usually involve studies in a limited patient population with a specific disease or condition to (1) evaluate the efficacy of the product candidate for specific indications, (2) determine dosage tolerance and optimal dosage and (3) identify possible adverse effects and safety risks.</w:t>
      </w:r>
    </w:p>
    <w:p>
      <w:pPr>
        <w:spacing w:after="0" w:line="122" w:lineRule="exact"/>
        <w:rPr>
          <w:sz w:val="20"/>
          <w:szCs w:val="20"/>
          <w:color w:val="auto"/>
        </w:rPr>
      </w:pPr>
    </w:p>
    <w:p>
      <w:pPr>
        <w:ind w:left="660" w:right="140" w:hanging="323"/>
        <w:spacing w:after="0" w:line="261" w:lineRule="auto"/>
        <w:rPr>
          <w:sz w:val="20"/>
          <w:szCs w:val="20"/>
          <w:color w:val="auto"/>
        </w:rPr>
      </w:pPr>
      <w:r>
        <w:rPr>
          <w:rFonts w:ascii="Times New Roman" w:cs="Times New Roman" w:eastAsia="Times New Roman" w:hAnsi="Times New Roman"/>
          <w:sz w:val="18"/>
          <w:szCs w:val="18"/>
          <w:i w:val="1"/>
          <w:iCs w:val="1"/>
          <w:color w:val="auto"/>
        </w:rPr>
        <w:t>Phase 3.</w:t>
      </w:r>
      <w:r>
        <w:rPr>
          <w:sz w:val="20"/>
          <w:szCs w:val="20"/>
          <w:color w:val="auto"/>
        </w:rPr>
        <w:t xml:space="preserve"> </w:t>
      </w:r>
      <w:r>
        <w:rPr>
          <w:rFonts w:ascii="Times New Roman" w:cs="Times New Roman" w:eastAsia="Times New Roman" w:hAnsi="Times New Roman"/>
          <w:sz w:val="18"/>
          <w:szCs w:val="18"/>
          <w:color w:val="auto"/>
        </w:rPr>
        <w:t>If a product candidate is found to be potentially effective and to have an acceptable safety profile in Phase 2 clinical trials, the clinical trial program will be expanded to Phase 3 clinical trials to further demonstrate clinical efficacy, optimal dosage and safety within an expanded patient population at geographically dispersed clinical trial sites. These clinical studies are intended to establish the overall risk/benefit ratio of the product and provide an adequate basis for product approval and labeling.</w:t>
      </w:r>
    </w:p>
    <w:p>
      <w:pPr>
        <w:spacing w:after="0" w:line="126" w:lineRule="exact"/>
        <w:rPr>
          <w:sz w:val="20"/>
          <w:szCs w:val="20"/>
          <w:color w:val="auto"/>
        </w:rPr>
      </w:pPr>
    </w:p>
    <w:p>
      <w:pPr>
        <w:ind w:left="660" w:right="20" w:hanging="323"/>
        <w:spacing w:after="0" w:line="261" w:lineRule="auto"/>
        <w:rPr>
          <w:sz w:val="20"/>
          <w:szCs w:val="20"/>
          <w:color w:val="auto"/>
        </w:rPr>
      </w:pPr>
      <w:r>
        <w:rPr>
          <w:rFonts w:ascii="Times New Roman" w:cs="Times New Roman" w:eastAsia="Times New Roman" w:hAnsi="Times New Roman"/>
          <w:sz w:val="18"/>
          <w:szCs w:val="18"/>
          <w:i w:val="1"/>
          <w:iCs w:val="1"/>
          <w:color w:val="auto"/>
        </w:rPr>
        <w:t>Phase 4.</w:t>
      </w:r>
      <w:r>
        <w:rPr>
          <w:sz w:val="20"/>
          <w:szCs w:val="20"/>
          <w:color w:val="auto"/>
        </w:rPr>
        <w:t xml:space="preserve"> </w:t>
      </w:r>
      <w:r>
        <w:rPr>
          <w:rFonts w:ascii="Times New Roman" w:cs="Times New Roman" w:eastAsia="Times New Roman" w:hAnsi="Times New Roman"/>
          <w:sz w:val="18"/>
          <w:szCs w:val="18"/>
          <w:color w:val="auto"/>
        </w:rPr>
        <w:t>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Phase 2/3</w:t>
      </w:r>
      <w:r>
        <w:rPr>
          <w:rFonts w:ascii="Times New Roman" w:cs="Times New Roman" w:eastAsia="Times New Roman" w:hAnsi="Times New Roman"/>
          <w:sz w:val="18"/>
          <w:szCs w:val="18"/>
          <w:color w:val="auto"/>
        </w:rPr>
        <w:t xml:space="preserve"> trial design, which we have used in our troriluzole development program, is often used in the development of pharmaceutical and biological products. The trial includes Phase 2 elements, such as an early interim analysis of safety or activity, and Phase 3 elements, such as larger patient populations with less restrictive enrollment criteria. The early interim analysis of clinical or physiologic activity and/or safety allows the study to be stopped, changed or continued before a large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201" w:right="339" w:bottom="1440" w:gutter="0" w:footer="0" w:header="0"/>
        </w:sectPr>
      </w:pPr>
    </w:p>
    <w:bookmarkStart w:id="118" w:name="page119"/>
    <w:bookmarkEnd w:id="118"/>
    <w:p>
      <w:pPr>
        <w:ind w:right="1200"/>
        <w:spacing w:after="0" w:line="438" w:lineRule="auto"/>
        <w:rPr>
          <w:sz w:val="20"/>
          <w:szCs w:val="20"/>
          <w:color w:val="auto"/>
        </w:rPr>
      </w:pPr>
      <w:r>
        <w:rPr>
          <w:rFonts w:ascii="Times New Roman" w:cs="Times New Roman" w:eastAsia="Times New Roman" w:hAnsi="Times New Roman"/>
          <w:sz w:val="18"/>
          <w:szCs w:val="18"/>
          <w:color w:val="auto"/>
        </w:rPr>
        <w:t xml:space="preserve">number of patients have been enrolled, while still allowing all data from enrolled patients to count in the analysis used to support approval. </w:t>
      </w:r>
      <w:r>
        <w:rPr>
          <w:rFonts w:ascii="Times New Roman" w:cs="Times New Roman" w:eastAsia="Times New Roman" w:hAnsi="Times New Roman"/>
          <w:sz w:val="18"/>
          <w:szCs w:val="18"/>
          <w:b w:val="1"/>
          <w:bCs w:val="1"/>
          <w:i w:val="1"/>
          <w:iCs w:val="1"/>
          <w:color w:val="auto"/>
        </w:rPr>
        <w:t>Submission and Review of an NDA</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product's manufacture, composition, quality, controls and proposed labeling, among other things, are submitted to the FDA in the form of an NDA, requesting approval to market the product. The application must be accompanied by a significant user fee payment, which typically increases annually, although waivers may be granted in limited cases. The FDA has substantial discretion in the approval process and may refuse to accept an application if they determine that the data are insufficient for approval and require additional preclinical, clinical or other studies.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that the FDA accepts the application for filing for standard review NDAs and 6 months from the date that the FDA accepts the application for filing for priority review NDAs. The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typically will inspect the facilities at which the product is manufactured and will not approve the product unless the manufacturing facilities comply with cGMPs. Additionally, the FDA will typically inspect one or more clinical trial sites, as well as the Sponsor of the NDA, for compliance with GCP and integrity of the data supporting safety and efficacy.</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approval process, the FDA also will determine whether a risk evaluation and mitigation strategy ("REMS") is necessary to assure the safe use of the product post approval.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will issue either an approval of the NDA or a Complete Response Letter ("CRL"), detailing the deficiencies in the submission and the additional testing or information required for reconsideration of the application. The deficiencies identified may be minor, for example, requiring labeling changes, or major, for example, requiring additional clinical studies. If a CRL is issued, the applicant may either resubmit the NDA, addressing all of the deficiencies identified in the letter, withdraw the application, or request a hearing. Even with submission of this additional information, the FDA may ultimately decide that the application does not satisfy the regulatory criteria for approval.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Approved drugs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marketed products.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4 clinical trials, and surveillance programs to further assess and monitor the product's safety and effectiveness after commercialization. The FDA may also require a REMS, which could involve requirements for, among other things, medication guides, special trainings for prescribers and dispensers, patient registries, and elements to assure safe use.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The FDA has promulgated specific requirements for drug cGMPs.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201" w:right="359" w:bottom="1440" w:gutter="0" w:footer="0" w:header="0"/>
        </w:sectPr>
      </w:pPr>
    </w:p>
    <w:bookmarkStart w:id="119" w:name="page120"/>
    <w:bookmarkEnd w:id="119"/>
    <w:p>
      <w:pPr>
        <w:ind w:right="100"/>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33" w:lineRule="exact"/>
        <w:rPr>
          <w:sz w:val="20"/>
          <w:szCs w:val="20"/>
          <w:color w:val="auto"/>
        </w:rPr>
      </w:pPr>
    </w:p>
    <w:p>
      <w:pPr>
        <w:ind w:left="660" w:right="12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product recalls;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 FDA may also require companies to perform additional studies or measurements, including clinical trials, to support the change from the approved branded reference drug. The FDA may then approve the new product candidate for the new indication sought by the 505(b)(2) applicant.</w:t>
      </w:r>
    </w:p>
    <w:p>
      <w:pPr>
        <w:spacing w:after="0" w:line="1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clinical program for troriluzole for the treatment of SCA and the treatment of OCD is based on a regulatory pathway under section 505(b)(2) of the FDCA that allows reference to data on riluzole for the purpose of safety assessments.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Exclusivity - United States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United States, biopharmaceutical products are protected by patents with varying terms depending on the type of patent and the filing date. A significant portion of a product’s patent life, however, is lost during the time it takes an innovative company to develop and obtain regulatory approval of a new drug. As compensation at least in part for the lost patent term due to regulatory review periods, the innovator may, depending on a number of factors, apply to the government to restore lost patent term by extending the expiration date of one patent up to a maximum term of five years, provided that the extension cannot cause the patent to be in effect for more than 14 years from the date of drug approval. A company seeking to market an innovative pharmaceutical in the U.S. must submit a complete set of safety and efficacy data to the FDA. If the innovative pharmaceutical is a chemical product, the company files an NDA. If the medicine is a biological product, a Biologic License Application ("BLA") is filed. The type of application filed affects regulatory data protection (“RDP”) exclusivity rights.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20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Small Molecule Products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competitor seeking to launch a generic substitute of small molecule drug in the U.S. must file an Abbreviated New Drug Application ("ANDA") with the FDA. In the ANDA, the generic manufacturer needs to demonstrate only “bioequivalence” between the generic substitute and the approved NDA drug. The ANDA relies upon the safety and efficacy data previously filed by the innovator in its NDA. An innovator company is required to list certain of its patents covering the medicine with the FDA in what is commonly known as the FDA’s Orange Book. The FDA cannot approve an ANDA until after the innovator’s listed patents expire unless there is a successful patent challenge. However, after the innovator has marketed its product for four years, a generic manufacturer may file an ANDA and allege that one or more of the patents listed in the Orange Book under an innovator’s NDA is either invalid or not infringed (a Paragraph IV certification). The innovator then must decide whether to file a patent infringement suit against the generic manufacturer. From time to time, ANDAs, including Paragraph IV certifications, could be filed with respect to certain of our products.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certain innovative pharmaceutical products can receive periods of regulatory exclusivity. An NDA that is designated as an orphan drug can receive seven years of exclusivity for the orphan indication. During this time period, neither NDAs nor ANDAs for the same drug product can be approved for the same orphan use. A company may also earn six months of additional exclusivity for a drug where specific clinical studies are conducted at the written request of the FDA to study the use of the medicine to treat pediatric patients, and submission to the FDA is made prior to the loss of basic exclusivity. Medicines approved under an NDA can also receive several types of RDP. An innovative chemical pharmaceutical product is entitled to five years of RDP in the U.S., during which the FDA cannot approve generic substitutes. If an innovator’s patent is challenged, as described above, a generic manufacturer may file its ANDA after the fourth year of the five-year RDP period. A pharmaceutical drug product that contains an active ingredient that has been previously approved in an NDA, but is approved in a new formulation, but not for the drug itself, or for a new indication on the basis of new clinical studies, may receive three years of RDP for that formulation or indication.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Biologic products</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ACA, which includes a subtitle called the Biologics Price Competition and Innovation Act of 2009, created an approval pathway for biosimilar versions of innovative biological products that did not previously exist. Prior to that time, innovative biologics had essentially unlimited regulatory exclusivity. Under the new regulatory mechanism, the FDA can approve products that are similar to (but not generic copies of) innovative biologics on the basis of less extensive data than is required by a full BLA. After an innovator has marketed its product for four years, any manufacturer may file an application for approval of a “biosimilar” version of the innovator product. However, although an application for approval of a biosimilar version may be filed four years after approval of the innovator product, qualified innovative biological products will receive 12 years of regulatory exclusivity, meaning that the FDA may not approve a biosimilar version until 12 years after the innovative biological product was first approved by the FDA. The law also provides a mechanism for innovators to enforce the patents that protect innovative biological products and for biosimilar applicants to challenge the patents. Such patent litigation may begin as early as four years after the innovative biological product is first approved by the FDA.</w:t>
      </w:r>
    </w:p>
    <w:p>
      <w:pPr>
        <w:spacing w:after="0" w:line="13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In the U.S., the increased likelihood of generic and biosimilar challenges to innovators’ intellectual property has increased the risk of loss of innovators’ market exclusivity. First, generic companies have increasingly sought to challenge innovators’ basic patents covering major pharmaceutical products. Second, statutory and regulatory provisions in the U.S. limit the ability of an innovator company to prevent generic and biosimilar drugs from being approved and launched while patent litigation is ongoing. As a result of all of these developments, it is not possible to predict the length of market exclusivity for a particular product with certainty based solely on the expiration of the relevant patent(s) or the current forms of regulatory exclusivity.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19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typical route used by innovator companies to obtain marketing authorization of pharmaceutical products in the EU is through the “centralized procedure.” A company seeking to market an innovative pharmaceutical product through the centralized procedure must file a complete set of safety data and efficacy data as part of a Marketing Authorization Application ("MAA") with the EMA. After the EMA evaluates the MAA, it provides a recommendation to the European Commission ("EC") and the EC then approves or denies the MAA. Regulatory approval via the centralized procedure results in a marketing authorization for the innovative pharmaceutical product in each EU member state. It is also possible for new chemical products to obtain marketing authorization in the EU through a “mutual recognition procedure,” in which an application is made to a single member state, and if the member state approves the pharmaceutical product under a national procedure, then the applicant may submit that approval to the mutual recognition procedure of some or all other member states. After obtaining marketing authorization approval, a company must obtain pricing and reimbursement for the pharmaceutical product, which is typically subject to member state law. In certain EU countries, this process can take place simultaneously while the product is marketed but in other EU countries, this process must be completed before the company can market the new product. The pricing and reimbursement procedure can take months and sometimes years to complete. Throughout the EU, all products for which marketing authorizations have been filed after October/November 2005 are subject to an “8+2+1” regime. Eight years after the innovator has received its first community authorization for a medicinal product, a generic company may file a MAA for that product with the health authorities. If the MAA is approved, the generic company may not commercialize the product until after either 10 or 11 years have elapsed from the initial marketing authorization granted to the innovator. The possible extension to 11 years is available if the innovator, during the first eight years of the marketing authorization, obtains an additional indication that is of significant clinical benefit in comparison with existing treatments. For products that were filed prior to October/November 2005, there is a 10-year period of data protection under the centralized procedures and a period of either six or 10 years under the mutual recognition procedure (depending on the member state). In contrast to the U.S., patents in the EU are not listed with regulatory authorities. Generic versions of pharmaceutical products can be approved after data protection expires, regardless of whether the innovator holds patents covering its drug. Thus, it is possible that an innovator may be seeking to enforce its patents against a generic competitor that is already marketing its product. Also, the European patent system has an opposition procedure in which generic manufacturers may challenge the validity of patents covering innovator products within nine months of grant. In general, EU law treats chemically-synthesized drugs and biologically-derived drugs the same with respect to intellectual property and data protection. In addition to the relevant legislation and annexes related to biologic medicinal products, the EMA has issued guidelines that outline the additional information to be provided for biosimilar products, also known as generic biologics, in order to review an application for marketing approval.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Japan, medicines of new chemical entities are generally afforded eight years of data exclusivity for approved indications and dosage. Patents on pharmaceutical products are enforceable. Generic copies can receive regulatory approval after data exclusivity and patent expirations. As in the U.S., patents in Japan may be extended to compensate for the patent term lost during the regulatory review process. In general, Japanese law treats chemically-synthesized and biologically-derived drugs the same with respect to intellectual property and market exclusivity.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obtain marketing authorization of pharmaceutical products in China, an NDA must be submitted to the National Medical Product Administration ("NMPA") once safety and efficacy has been established in Chinese patients. For imported drugs, this means issuance of an import license. The applicant must submit evidence of foreign approval (certificate of pharmaceutical product), unless it is an innovative drug that has never been approved anywhere in the world.</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China, medicines of new chemical entities are generally afforded 6 years of data exclusivity for approved indications and dosage. Generic copies can receive regulatory approval after data exclusivity and patent expirations.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Korea</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obtain marketing authorization of pharmaceutical products in South Korea, a marketing application must be submitted to the Ministry of Food and Drug Safety ("MFDS"). The application must contain data in South Korean patients, information regarding safety and efficacy, quality, a good manufacturing practice certificate, and a certificate of pharmaceutical product in an approved country to show that the drug being imported is being sold in the approved country in accordance with the with the relevant rules and regulations in that country.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199" w:right="339" w:bottom="1440" w:gutter="0" w:footer="0" w:header="0"/>
        </w:sectPr>
      </w:pPr>
    </w:p>
    <w:bookmarkStart w:id="122" w:name="page123"/>
    <w:bookmarkEnd w:id="122"/>
    <w:p>
      <w:pPr>
        <w:ind w:right="260"/>
        <w:spacing w:after="0" w:line="282" w:lineRule="auto"/>
        <w:rPr>
          <w:sz w:val="20"/>
          <w:szCs w:val="20"/>
          <w:color w:val="auto"/>
        </w:rPr>
      </w:pPr>
      <w:r>
        <w:rPr>
          <w:rFonts w:ascii="Times New Roman" w:cs="Times New Roman" w:eastAsia="Times New Roman" w:hAnsi="Times New Roman"/>
          <w:sz w:val="18"/>
          <w:szCs w:val="18"/>
          <w:color w:val="auto"/>
        </w:rPr>
        <w:t>In South Korea, medicines of new chemical entities are generally afforded 6 years of data exclusivity for first approved indications and dosage. Generic copies can receive regulatory approval after data exclusivity and patent expirations.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 of the World</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countries outside of the U.S., the EU, Japan, China and South Korea, there is a wide variety of legal systems with respect to intellectual property and market exclusivity of pharmaceuticals. Most other developed countries utilize systems similar to either the U.S. or the EU. Among developing countries, some have adopted patent laws and/or regulatory exclusivity laws, while others have not. Some developing countries have formally adopted laws in order to comply with World Trade Organization ("WTO") commitments, but have not taken steps to implement these laws in a meaningful way. Enforcement of WTO actions is a long process between governments, and there is no assurance of the outcome.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Reimbursement and Pricing</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 that patients find unacceptably high. Additionally, coverage and reimbursement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decision to cover a particular product does not ensure that other payors will also provide coverage for the product, or will provide coverage at an adequate reimbursement rate.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and foreign governments regularly consider reform measures that affect health care coverage and costs.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("CMS") may develop new payment and delivery models, such as bundled payment models. For example, the U.S. Department of Health and Human Services ("HHS") moved 41% of Medicare fee-for-service payments to alternative payment models ("APMs") tied to the quality or value of services by the end of 2018. HHS had set a goal of moving 50% of such Medicare payments into these alternative payment models by the end of 2018, but in 2019, it discontinued this performance goal and replaced it with a new developmental goal to increase the percentage of Medicare health care dollars tied to APMs incorporating downside risk, with a target of 40% for fiscal year 2021. Adoption of government controls and measures, and tightening of restrictive policies in jurisdictions with existing controls and measures, could limit payments for our products.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00"/>
          </w:cols>
          <w:pgMar w:left="320" w:top="1201" w:right="379" w:bottom="1440" w:gutter="0" w:footer="0" w:header="0"/>
        </w:sectPr>
      </w:pPr>
    </w:p>
    <w:bookmarkStart w:id="123" w:name="page124"/>
    <w:bookmarkEnd w:id="123"/>
    <w:p>
      <w:pPr>
        <w:jc w:val="both"/>
        <w:spacing w:after="0" w:line="257"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In addition, the focus on cost containment measures, particularly in the United States, has increased and we expect will continue to increase the pressure on pharmaceutical pricing. Coverage policies and third-party reimbursement rates may change at any time.</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Even if we attain favorable coverage and reimbursement status for one or more products for which we receive regulatory approval, less favorable coverage policies and reimbursement rates may be implemented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Coverage Reimbursement and Pricing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or so called health technology assessments, in order to obtain reimbursement or pricing approval.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Physicians, other healthcare providers, and third-party payors will play a primary role in the recommendation and prescription of any product candidates for which we obtain marketing approval. Future arrangements with healthcare professionals, principal investigators, consultants, customers and third-party payors are and will be subject to various federal, state and foreign fraud and abuse laws and other healthcare laws and regulations. These laws and regulations may impact, among other things, healthcare professionals who participate in our clinical research programs, and our proposed sales, marketing, distribution, and education programs. The U.S. federal and state healthcare laws and regulations that may affect our ability to operate include, without limitation, the following:</w:t>
      </w:r>
    </w:p>
    <w:p>
      <w:pPr>
        <w:spacing w:after="0" w:line="133" w:lineRule="exact"/>
        <w:rPr>
          <w:sz w:val="20"/>
          <w:szCs w:val="20"/>
          <w:color w:val="auto"/>
        </w:rPr>
      </w:pPr>
    </w:p>
    <w:p>
      <w:pPr>
        <w:ind w:left="660" w:right="80" w:hanging="328"/>
        <w:spacing w:after="0" w:line="261"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p>
      <w:pPr>
        <w:spacing w:after="0" w:line="125"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liability for executing or attempting to execute a scheme to defraud any healthcare benefit program and creates federal criminal laws that prohibit knowingly and willfully falsifying, concealing or covering up a material fact or making any materially false statement in connection with the delivery of or payment for healthcare benefits, items or services;</w:t>
      </w:r>
    </w:p>
    <w:p>
      <w:pPr>
        <w:spacing w:after="0" w:line="125"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enacted as part of the American Recovery and Reinvestment Act of 2009 and its implementing regulations, which imposes certain obligations, including mandatory contractual terms, on entities subject to the law, such as healthcare providers, health plans, and healthcare clearinghouses and their respective business associates to safeguard the privacy, security and transmission of individually identifiable health information from any unauthorized use or disclosures;</w:t>
      </w:r>
    </w:p>
    <w:p>
      <w:pPr>
        <w:spacing w:after="0" w:line="12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created under the ACA, which requires certain manufacturers of drugs, devices, biologics and medical supplies reimbursed under Medicare, Medicaid, and other programs such as CHIP to report to HHS information related to payments and other transfers of value provided to physicians and teaching hospitals and physician ownership and investment interests;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00"/>
          </w:cols>
          <w:pgMar w:left="320" w:top="1201" w:right="379" w:bottom="1440" w:gutter="0" w:footer="0" w:header="0"/>
        </w:sectPr>
      </w:pPr>
    </w:p>
    <w:bookmarkStart w:id="124" w:name="page125"/>
    <w:bookmarkEnd w:id="124"/>
    <w:p>
      <w:pPr>
        <w:ind w:left="660" w:right="80" w:hanging="328"/>
        <w:spacing w:after="0" w:line="255"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impose similar restrictions and may apply to items or services reimbursed by non-governmental third-party payors, including private insurers; 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state health information privacy and data breach notification laws, which govern the collection, use, disclosure, and protection of health-related and other personal information, many of which differ from each other in significant ways and some of which are not pre-empted by HIPAA, thus complicating compliance efforts.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be required to spend substantial time and money to ensure that our business arrangements with third parties comply with applicable healthcare laws and regulations. Healthcare reform legislation has strengthened these federal and state healthcare laws. For example, the ACA amended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safe harbors available, it is possible that some of our business activities could be subject to challenge under one or more of such laws.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we may be required to curtail or restructure our operations. Moreover, we expect that there will continue to be federal and state laws and regulations, proposed and implemented, that could impact our future operations and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legislative landscape in the United States continues to evolve.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In March 2010, the ACA was enacted, which includes measures that have significantly changed health care financing by both governmental and private insurers. Since its enactment, there have been judicial, executive and Congressional challenges to certain aspects of the ACA. On June 17, 2021, the U.S. Supreme Court dismissed the most recent judicial challenge to the ACA brought by several states, without specifically ruling on the ACA’s constitutionality.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the ACA of importance to the pharmaceutical and biotechnology industry are, among others, the following:</w:t>
      </w:r>
    </w:p>
    <w:p>
      <w:pPr>
        <w:spacing w:after="0" w:line="171" w:lineRule="exact"/>
        <w:rPr>
          <w:sz w:val="20"/>
          <w:szCs w:val="20"/>
          <w:color w:val="auto"/>
        </w:rPr>
      </w:pPr>
    </w:p>
    <w:p>
      <w:pPr>
        <w:ind w:left="660" w:right="72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which is apportioned among these entities according to their market share in certain government healthcare programs;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01" w:right="339" w:bottom="1440" w:gutter="0" w:footer="0" w:header="0"/>
        </w:sectPr>
      </w:pPr>
    </w:p>
    <w:bookmarkStart w:id="125" w:name="page126"/>
    <w:bookmarkEnd w:id="125"/>
    <w:p>
      <w:pPr>
        <w:ind w:left="660" w:right="38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107"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Innovation at the Centers for Medicare and Medicaid Services ("CMS"), to test innovative payment and service delivery models to lower Medicare and Medicaid spending, potentially including prescription drug spending.</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judicial and Congressional challenges to certain aspects of the ACA. In January of 2021, an Executive Order entitled “Executive Order on Strengthening Medicaid and the Affordable Care Act” repealed two previous Executive Orders delaying the implementation of certain provisions of the ACA. Concurrently, Congress has considered legislation that amend all or part of the ACA.</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since the ACA was enacted. These changes include aggregate reductions to Medicare payments to providers of up to 2% per fiscal year pursuant to the Budget Control Act of 2011 (known as Medicare sequestration) and subsequent extensions, which began in 2013 and will remain in effect through 2030 (with the exception of a temporary suspension from May 1, 2020 through March 31, 2022, with a subsequent one quarter phase-in of 1%) unless additional Congressional action is taken.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program were scheduled to begin in 2019. At this time, it is unclear how the introduction of the quality payment program will impact overall physician reimbursement under the Medicare program.</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there have been several recent Congressional inquiries and proposed federal and state legislation designed to, among other things, bring more transparency to product pricing, review the relationship between pricing and manufacturer patient programs, and reform government program reimbursement methodologies for products. At the federal level, the costs of prescription pharmaceuticals in the United States has also been the subject of considerable discussion. The previous administration released a "Blueprint" to lower drug prices and reduce out-of-pocket costs of drugs. HHS solicited feedback on some of these measures and, concurrently, implemented others under its existing authority. President Biden continues to push for reforms that would address the high cost of drugs. In response to an Executive Order from President Biden, the Secretary of HHS recently issued a comprehensive plan for addressing high drug prices that describes a number of legislative approaches and identifies administrative tools to address the high cost of drugs. And Democrats recently included drug pricing reform provisions reflecting elements of the plan in a broader spending package in late 2021—such as capping Medicare Part D patients’ out-of-pocket costs, establishing penalties for drug prices that increase faster than inflation in Medicare, and authorizing the federal government to negotiate prices on certain select, high-cost drugs under Medicare Parts B and D. While a number of these and other proposed measures would require authorization through additional legislation to become effective, Congress has indicated that it will continue to seek new legislative and/or administrative measures to control drug costs. In August 2022, Congress passed the Inflation Reduction Act of 2022, which included, among other things, a provision allowing Medicare to negotiate drug prices directly with pharmaceutical manufacturers.</w:t>
      </w:r>
    </w:p>
    <w:p>
      <w:pPr>
        <w:spacing w:after="0" w:line="1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At the state level, legislatures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1201"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Governance and Human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and Leadership</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commitment to integrating sustainability across our organization begins with our Board of Directors. The Nominating and Governance Committee of the Board will have oversight of strategy and risk management related to Environmental, Social and Governance (“ESG”). Applying NYSE’s listing standards for independence, six of our eight directors will be independent.</w:t>
      </w:r>
    </w:p>
    <w:p>
      <w:pPr>
        <w:spacing w:after="0" w:line="12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At the management level, we will be implementing a cross-functional Sustainability Working Group, which is set to meet on a regular basis and report to the Board of Directors periodically. We also be maintaining a Chief Talent &amp; Sustainability Officer position to work closely with the working group and coordinate efforts related to the advancement of ESG capabilities across the organization.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Ethics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committed to creating an environment where we are able to excel in our business while maintaining the highest standards of conduct and ethics. Our Code of Business Conduct and Ethics (the “Code of Conduct”) will reflect the business practices and principles of behavior that support this commitment, including our policies on bribery, corruption, conflicts of interest and our whistleblower program. We expect every director, officer, and employee to read, understand, and comply with the Code of Conduct and its application to the performance of his or her business responsibilities.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encourage employees to come to us with observations and complaints, ensuring we understand the severity and frequency of an event in order to escalate and assess accordingly. Our Chief Compliance Officer strives to ensure accountability, objectivity, and compliance with our Code of Conduct. If a complaint is financial in nature, the Audit Committee Chair is notified concurrently, which triggers an investigation, action, and report. All incidents are reported up to the Board of Directors on a quarterly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Commitment</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are committed to protecting the environment and attempt to mitigate any negative impact of our operations. We monitor resource use, improve efficiency, and at the same time reduce our emissions and waste.</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order to reduce the overall impact of our product on the environment, we have taken steps to enhance the sustainability of our manufacturing processes for our drug substances.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collaboration with our contract research organization partners, we apply various green chemistry methodologies to our commercial and development pipeline. We have especially focused on using biocatalysis, a technology that makes use of enzymes instead of chemicals to accomplish specific chemical reactions used to construct organic small molecules such as Active Pharmaceutical Ingredients.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also initiated work in removing hazardous organic solvents from certain reactions and replacing them with water. This green technology relies on the use of micelles to enable such reactions to occur in water where they would normally not occur due in part to the very poor solubility of most organic compounds in water. These greener processes not only create less waste, but the waste that is produced is much less hazardous, therefore reducing the environmental impact of the manufacturing process.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systematically addressing the environmental impacts of the buildings we own as we make improvements, including adding energy control systems and other energy efficiency measures. Waste in our own operation is minimized by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197" w:right="339" w:bottom="1440" w:gutter="0" w:footer="0" w:header="0"/>
        </w:sectPr>
      </w:pPr>
    </w:p>
    <w:bookmarkStart w:id="127" w:name="page128"/>
    <w:bookmarkEnd w:id="127"/>
    <w:p>
      <w:pPr>
        <w:ind w:right="480"/>
        <w:spacing w:after="0" w:line="282" w:lineRule="auto"/>
        <w:rPr>
          <w:sz w:val="20"/>
          <w:szCs w:val="20"/>
          <w:color w:val="auto"/>
        </w:rPr>
      </w:pPr>
      <w:r>
        <w:rPr>
          <w:rFonts w:ascii="Times New Roman" w:cs="Times New Roman" w:eastAsia="Times New Roman" w:hAnsi="Times New Roman"/>
          <w:sz w:val="18"/>
          <w:szCs w:val="18"/>
          <w:color w:val="auto"/>
        </w:rPr>
        <w:t>our commitment to reduce both single-use plastics and operating paper-free, primarily in a digital environment. We have safety protocols in place for handling biohazardous waste in our labs, and we use third-party vendors for biohazardous waste and chemical disposal.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Responsibility</w:t>
      </w:r>
    </w:p>
    <w:p>
      <w:pPr>
        <w:spacing w:after="0" w:line="17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For third-party vendor selection and oversight, we will adopt standard operating procedures that apply to employees and subcontractors who on our behalf, oversee and conduct research regulated by the FDA. We retain ultimate authority and responsibility for the conduct of regulated research, manufacturing, and testing and we must ensure that contracted services are conducted in accordance with Good Practice Guidelines and all applicable regulations.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foster and encourage a workplace environment that holds possibilities for everyone, with a commitment to respect and acceptance without biases.</w:t>
      </w:r>
    </w:p>
    <w:p>
      <w:pPr>
        <w:spacing w:after="0" w:line="17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Development and continuous feedback are priorities for our organization, which comprised 190 employees as of December 31, 2021. We believe each individual person is critical to our success and we invest in our people by supporting continuous training programs and courses. We encourage each employee to engage with their manager in developmental discussions designed to focus on feedback rather than a rating.</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 important part of our talent recruitment is our robust paid internship program for high school, college and graduate-level students. This program offers opportunities to students in the community and develops a roadmap for ‘entry-level’ candidates. We evaluate the success of our recruitment program through metrics such as time to hire, offer acceptance rate, turnover rate and business results.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strive to provide an inclusive workplace to foster growth and innovation. Our Diversity, Equity and Inclusion (“DEI”) Plan “Roadmap to Belonging” will include training to build DEI capabilities for all commercial employees, cultural competence capability building for leaders, as well as traditional anti-harassment and anti-discrimination training for all. Pulse surveys and individual interviews for commercial employees are conducted to assess program effectiveness. Combined with an agile mindset, this feedback enables our leadership team to further enhance program offerings to address the diverse needs of our team. We have expanded our team with an inclusive mindset from the beginning. We are actively focused on increasing the gender, racial/ethnic, and age diversity of our board composition and, over the past two years, we have made strides to diversify our senior leadership, with the number of females in scientific leadership positions becoming a strength of our organization.</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When the COVID-19 pandemic hit in early 2020, we quickly established both an office-based and field-based response to protect our employees. We first and foremost encouraged all office-based employees to work from home and provided support for fully remote work. In our offices, we follow health and safety protocols by providing mandatory masks for anyone entering the building, foot-dispensing hand sanitizer stations, and disinfecting wipes at each workstation. We purchased high efficiency air filters to ensure air is not recirculated in the facilities. We offer antibody testing and encourage employees to be tested for COVID-19 frequently.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Segments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currently operate in a single business segment developing a portfolio of innovative, late-stage product candidates targeting neurological diseases, including rare disorders.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business company limited by shares organized under the laws of the British Virgin Islands Our registered office is located at P.O. Box 173, Road Town, Tortola, British Virgin Islands and our telephone number is +1 (284) 852-3000. Our U.S. office is located at 215 Church Street, New Haven, Connecticut 06510 and our telephone number is (203) 404-0410. Our website address is www.biohavenpharma.com. The information contained on our website is not incorporated by reference into this information statement, and you should not consider any information contained on, or that can be accessed through, our website as part of this information statement or in making an investment decision regarding our common shares. On September 16, 2022, the Company changed its name from “Biohaven Research Ltd.” to “Biohaven Ltd.”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20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U.S. headquarters is located in New Haven, Connecticut, where, as of December 31, 2021, we occupied approximately 10,000 square feet of office space, used for executive and corporate office functions. We purchased the property in December 2018. In December 2021, we purchased an office building in New Haven, Connecticut to expand our office space for executive and corporate office functions to support our continued growth. The building is directly next to our U.S. headquarters and is approximately 42,000 square feet.</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August 2019, we entered into a lease agreement in Yardley, Pennsylvania for approximately 21,000 square feet of office space to support expansion of our operations. The lease commenced on May 13, 2020, and has a term of 88 months, with the ability to extend to 148 months. The lessor provided us a temporary space to occupy while leasehold improvements were completed prior to commencement in the first quarter of 2020.</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2020, we entered into a license agreement in Dublin, Ireland for approximately 1,000 square feet of office space to support our operations. Upon execution of the agreement, the licensor agreed to provide us a temporary space to occupy at no additional cost until building improvements were complete. The license commenced in January 2021, and had a term of 36 months. In April 2022, we entered into an addendum to the license agreement, in which the parties agreed to terminate the license on August 31, 2022. Pursuant to the addendum, the Company’s access to the space and its monetary obligations under the license ended on May 31, 2022.</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January 2021, in connection with our acquisition of the remaining interest in Kleo Pharmaceuticals, Inc. ("Kleo") that we did not previously own, we acquired the lease on approximately 10,000 square feet of the recently established Kleo chemistry and discovery facilities at Science Park in New Haven, Connecticut. The lease has a remaining term of 24 months, with an option to extend.</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April 2021, BioShin entered into a lease agreement in Shanghai, China for approximately 4,600 square feet of office space to support its operations. The lease commenced on April 1, 2021 and has a term of 36 months with an option to extend.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2021, BioShin entered into a lease agreement in Beijing, China for approximately 1,700 square feet of office space to support its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commenced on November 1, 2021 and has a term of 12 months with an automatic renewal unless either party decides to terminate the agreement.</w:t>
      </w:r>
    </w:p>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February 2022, in connection with the our acquisition of Channel Biosciences, LLC (“Channel Biosciences”), we acquired the lease on approximately 20,000 square feet of office and research space in Pittsburgh, Pennsylvania. The lease term expires in October 2024 with an option to extend.</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May 2022, we assumed a lease in Dublin, Ireland for approximately 6,000 square feet of office space to support our operations. The new Dublin office lease replaces the Dublin office license that will terminate on August 31, 2022. The lease assignment took effect in May 2022 and the lease has a remaining term of 59 months with no option to extend.</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June 2022, we entered into a lease agreement in West Palm Beach, Florida for approximately 9,000 square feet of office space, which will be used for executive and corporate office functions. The lease is expected to commence in late 2024, following substantial completion of tenant improvements, and has a term of 120 months with an option to extend.</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we believe that suitable additional or substitute space will be available as needed to accommodate any future expansions.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is subject to litigation and regulatory examinations as well as information gathering requests, inquiries and investigations. As of June 30, 2022, there were no such matters which we believe would have a material adverse impact on our business, operating results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are eligible to take advantage of certain exemptions from various reporting requirements that are applicable to other public companies that are not “emerging growth companies.” These exemptions generally include, but are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9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advisory vote on executive compensation and shareholder approval of any golden parachute payments not previously approved.</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plan to take advantage of some or all of the reduced regulatory and reporting requirements that will be available to us as long as we qualify as an emerging growth company, except that we have irrevocably elected not to take advantage of the extension of time to comply with new or revised financial accounting standards available under Section 102(b) of the JOBS Act.</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will, in general, remain as an emerging growth company for up to five full fiscal years following the Distribution. We would cease to be an emerging growth company and, therefore, become ineligible to rely on the above exemptions, if we:</w:t>
      </w:r>
    </w:p>
    <w:p>
      <w:pPr>
        <w:spacing w:after="0" w:line="108"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more than $1.07 billion in annual revenue in a fiscal year;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more than $1 billion of non-convertible debt during the preceding three-year period; or</w:t>
      </w:r>
    </w:p>
    <w:p>
      <w:pPr>
        <w:spacing w:after="0" w:line="171"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a “large accelerated filer” as defined in Exchange Act Rule 12b-2, which would occur after: (i) we have filed at least one annual report pursuant to the Exchange Act; (ii) we have been an SEC-reporting company for at least twelve months; and (iii) the market value of our common shares that is held by non-affiliates exceeds $700 million as of the last business day of our most recently completed second fiscal quarter.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by applicable rules of the Securities and Exchange Commission, or SEC. As such, we are eligible for exemptions from various reporting requirements applicable to other public companies that are not smaller reporting companies, including, but not limited to, reduced disclosure obligations regarding executive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 smaller reporting company as long as either:</w:t>
      </w:r>
    </w:p>
    <w:p>
      <w:pPr>
        <w:spacing w:after="0" w:line="171"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market value of our common shares held by non-affiliates is less than $250 million; or</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our annual revenue is less than $100 million during the most recently completed fiscal year and the market value of our common shares held by non-affiliates is less than $700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1201" w:right="479" w:bottom="1440" w:gutter="0" w:footer="0" w:header="0"/>
        </w:sectPr>
      </w:pPr>
    </w:p>
    <w:bookmarkStart w:id="130" w:name="page131"/>
    <w:bookmarkEnd w:id="130"/>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expect to pay any cash dividends on our common shares in the foreseeable future. All decisions regarding the payment of dividends will be made by our Board of Directors from time to time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800"/>
          </w:cols>
          <w:pgMar w:left="320" w:top="1251" w:right="77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Biohaven Research Business cash and capitalization as of June 30, 2022 on a historical and pro forma basis to give effect to the pro forma adjustments included in our unaudited pro forma combined financial information. The information below is not necessarily indicative of what our capitalization would have been had the Separation and Distribution been completed as of June 30, 2022. In addition, it is not indicative of our future capitalization. This table should be read in conjunction with “Unaudited Pro Forma Combined Financial Information,” “Management’s Discussion and Analysis of Financial Condition and Results of Operations,” “Summary Historical and Unaudited Pro Forma Combined Financial Data” and the audited combined financial statements and corresponding notes included elsewhere in this information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60" w:type="dxa"/>
            <w:vAlign w:val="bottom"/>
          </w:tcPr>
          <w:p>
            <w:pPr>
              <w:spacing w:after="0"/>
              <w:rPr>
                <w:sz w:val="16"/>
                <w:szCs w:val="16"/>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6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from Parent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262,228</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251"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200" w:lineRule="exact"/>
        <w:rPr>
          <w:sz w:val="20"/>
          <w:szCs w:val="20"/>
          <w:color w:val="auto"/>
        </w:rPr>
      </w:pPr>
    </w:p>
    <w:p>
      <w:pPr>
        <w:spacing w:after="0" w:line="3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financial information of SpinCo gives effect to the Separation and related adjustments in accordance with Article 11 of the SEC’s Regulation S-X. In May 2020, the SEC adopted Release No.33-10786 “Amendments to Financial Disclosures about Acquired and Disposed Businesses,” or the Final Rule. The Final Rule was effective on January 1, 2021 and the unaudited pro forma combined financial information herein is presented in accordance therewith.</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below have been derived from our historical combined financial statements included in this information statement. While the historical combined financial statements reflect the historical financial results of the Biohaven Research Business, these pro forma statements give effect to the separation of the Biohaven Research Business into an independent, publicly traded company.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balance sheet gives effect to the Separation and related transactions described below as if they had occurred on June 30, 2022. The unaudited pro forma adjustments to the combined statement of operations for the six months ended June 30, 2022 and year ended December 31, 2021 assume that the Separation and related transactions occurred as of January 1, 2021.</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six months ended June 30, 2022 and year ended December 31, 2021 and the unaudited pro forma combined balance sheet as of June 30, 2022 have been prepared to reflect adjustments to SpinCo’s historical combined financial information for the following transaction accounting and autonomous entity adjustments:</w:t>
      </w:r>
    </w:p>
    <w:p>
      <w:pPr>
        <w:spacing w:after="0" w:line="122"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approximately 36,587,038 common shares of SpinCo as part of the spin-off;</w:t>
      </w:r>
    </w:p>
    <w:p>
      <w:pPr>
        <w:spacing w:after="0" w:line="27" w:lineRule="exact"/>
        <w:rPr>
          <w:rFonts w:ascii="Times New Roman" w:cs="Times New Roman" w:eastAsia="Times New Roman" w:hAnsi="Times New Roman"/>
          <w:sz w:val="18"/>
          <w:szCs w:val="18"/>
          <w:color w:val="auto"/>
        </w:rPr>
      </w:pPr>
    </w:p>
    <w:p>
      <w:pPr>
        <w:ind w:left="660" w:right="60" w:hanging="328"/>
        <w:spacing w:after="0" w:line="265" w:lineRule="auto"/>
        <w:tabs>
          <w:tab w:leader="none" w:pos="65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our anticipated post-separation capital structure, which includes an anticipated cash advancement to SpinCo from RemainCo equal to the remainder of $275 million of cash minus the sum of the amount of marketable securities and cash and cash equivalents held by SpinCo as of the close of business on the day prior to the effective time of the Distribution, subject to certain adjustments agreed to by RemainCo and Pfizer;</w:t>
      </w:r>
    </w:p>
    <w:p>
      <w:pPr>
        <w:ind w:left="660" w:right="780" w:hanging="328"/>
        <w:spacing w:after="0" w:line="250"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Distribution Agreement, Transition Services Agreement and other agreements between SpinCo and RemainCo and the provisions contained therein;</w:t>
      </w: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one-time expenses associated with the separation of SpinCo;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aforementioned adjustments on SpinCo’s income tax expense.</w:t>
      </w:r>
    </w:p>
    <w:p>
      <w:pPr>
        <w:spacing w:after="0" w:line="15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assumptions that management believes are reasonable given the information that is currently available. However, such adjustments are subject to change based on the finalization of the terms of the Transition Services Agreement and other agreements between SpinCo and RemainCo. The unaudited pro forma combined financial statements are for informational purposes only and do not purport to represent what SpinCo’s financial position and results of operations actually would have been had the Separation and the Distribution occurred on the dates indicated, or to project SpinCo’s financial performance for any future period. The historical audited combined annual and unaudited combined interim financial statements of the Biohaven Research Business have been derived from RemainCo’s historical accounting records and reflect certain allocations of expenses. All of the allocations and estimates in such financial statements are based on assumptions that RemainCo’s management believes are reasonable. The historical combined financial statements do not necessarily represent the financial position or results of operations of the Biohaven Research Business had it been operated as a standalone company during the periods or at the dates presented. As a result, autonomous entity adjustments have been reflected in the unaudited pro forma combined financial information.</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be read in conjunction with “Management’s Discussion and Analysis of Financial Condition and Results of Operations” and our historical audited combined annual and unaudited combined interim financial statements and corresponding notes thereto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20"/>
          </w:cols>
          <w:pgMar w:left="320" w:top="1251" w:right="3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106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 [B],</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257,799</w:t>
            </w: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234,590</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281,341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0" w:type="dxa"/>
            <w:vAlign w:val="bottom"/>
          </w:tcPr>
          <w:p>
            <w:pPr>
              <w:spacing w:after="0"/>
              <w:rPr>
                <w:sz w:val="1"/>
                <w:szCs w:val="1"/>
                <w:color w:val="auto"/>
              </w:rPr>
            </w:pPr>
          </w:p>
        </w:tc>
      </w:tr>
      <w:tr>
        <w:trPr>
          <w:trHeight w:val="229"/>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234,590</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332,810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 no par value 200,000 shares authorized; 36,587 shares issued and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on a pro forma basis</w:t>
            </w:r>
          </w:p>
        </w:tc>
        <w:tc>
          <w:tcPr>
            <w:tcW w:w="200" w:type="dxa"/>
            <w:vAlign w:val="bottom"/>
            <w:shd w:val="clear" w:color="auto" w:fill="CCEEFF"/>
          </w:tcPr>
          <w:p>
            <w:pPr>
              <w:spacing w:after="0"/>
              <w:rPr>
                <w:sz w:val="20"/>
                <w:szCs w:val="2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262,228</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8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262,228</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[A], [C],</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investment from Parent</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237,230</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262,228</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234,590</w:t>
            </w:r>
          </w:p>
        </w:tc>
        <w:tc>
          <w:tcPr>
            <w:tcW w:w="10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332,810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251"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56"/>
              <w:spacing w:after="0" w:line="136" w:lineRule="exact"/>
              <w:rPr>
                <w:sz w:val="20"/>
                <w:szCs w:val="20"/>
                <w:color w:val="auto"/>
              </w:rPr>
            </w:pPr>
            <w:r>
              <w:rPr>
                <w:rFonts w:ascii="Times New Roman" w:cs="Times New Roman" w:eastAsia="Times New Roman" w:hAnsi="Times New Roman"/>
                <w:sz w:val="14"/>
                <w:szCs w:val="14"/>
                <w:b w:val="1"/>
                <w:bCs w:val="1"/>
                <w:color w:val="auto"/>
              </w:rPr>
              <w:t>Autonomous</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104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Entity</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49,522</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299,406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(299,406)</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(299,477)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[G]</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0" w:type="dxa"/>
            <w:vAlign w:val="bottom"/>
          </w:tcPr>
          <w:p>
            <w:pPr>
              <w:spacing w:after="0"/>
              <w:rPr>
                <w:sz w:val="1"/>
                <w:szCs w:val="1"/>
                <w:color w:val="auto"/>
              </w:rPr>
            </w:pPr>
          </w:p>
        </w:tc>
      </w:tr>
      <w:tr>
        <w:trPr>
          <w:trHeight w:val="261"/>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(300,319)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(14,003)</w:t>
            </w: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(314,322)</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120" w:type="dxa"/>
            <w:vAlign w:val="bottom"/>
            <w:tcBorders>
              <w:top w:val="single" w:sz="8" w:color="CCEEFF"/>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[H], [I]</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 [I]</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251" w:right="359" w:bottom="144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Autonomous</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1040" w:type="dxa"/>
            <w:vAlign w:val="bottom"/>
          </w:tcPr>
          <w:p>
            <w:pPr>
              <w:jc w:val="center"/>
              <w:ind w:right="95"/>
              <w:spacing w:after="0" w:line="146"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Entity</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[E]</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193,172</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[E]</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9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247,395</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9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(247,395)</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9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(213,796)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w:t>
            </w:r>
          </w:p>
        </w:tc>
        <w:tc>
          <w:tcPr>
            <w:tcW w:w="6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(8,483)</w:t>
            </w:r>
          </w:p>
        </w:tc>
        <w:tc>
          <w:tcPr>
            <w:tcW w:w="9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(224,829)</w:t>
            </w:r>
          </w:p>
        </w:tc>
        <w:tc>
          <w:tcPr>
            <w:tcW w:w="0" w:type="dxa"/>
            <w:vAlign w:val="bottom"/>
          </w:tcPr>
          <w:p>
            <w:pPr>
              <w:spacing w:after="0"/>
              <w:rPr>
                <w:sz w:val="1"/>
                <w:szCs w:val="1"/>
                <w:color w:val="auto"/>
              </w:rPr>
            </w:pPr>
          </w:p>
        </w:tc>
      </w:tr>
      <w:tr>
        <w:trPr>
          <w:trHeight w:val="2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 [I]</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outstanding—basic and</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 [I]</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25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Data</w:t>
      </w:r>
    </w:p>
    <w:p>
      <w:pPr>
        <w:spacing w:after="0" w:line="175" w:lineRule="exact"/>
        <w:rPr>
          <w:sz w:val="20"/>
          <w:szCs w:val="20"/>
          <w:color w:val="auto"/>
        </w:rPr>
      </w:pPr>
    </w:p>
    <w:p>
      <w:pPr>
        <w:ind w:left="660" w:right="200" w:hanging="328"/>
        <w:spacing w:after="0" w:line="282" w:lineRule="auto"/>
        <w:tabs>
          <w:tab w:leader="none" w:pos="6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contribution from RemainCo to SpinCo for the SpinCo funding amount pursuant to the Distribution Agreement and subject to adjustments agreed to between RemainCo and Pfizer as described in more detail below.</w:t>
      </w:r>
    </w:p>
    <w:p>
      <w:pPr>
        <w:spacing w:after="0" w:line="107" w:lineRule="exact"/>
        <w:rPr>
          <w:rFonts w:ascii="Times New Roman" w:cs="Times New Roman" w:eastAsia="Times New Roman" w:hAnsi="Times New Roman"/>
          <w:sz w:val="18"/>
          <w:szCs w:val="18"/>
          <w:color w:val="auto"/>
        </w:rPr>
      </w:pPr>
    </w:p>
    <w:p>
      <w:pPr>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of the Distribution, Pfizer or an affiliate of Pfizer will advance to RemainCo $275 million, minus the sum of the amount of marketable securities and cash and cash equivalents contained in any accounts held by SpinCo as of the close of business on the day prior to the date of the Distribution, and RemainCo will contribute such funding to SpinCo. SpinCo’s liabilities under the Distribution Agreement include payment of certain distribution related expenses (see Note (B) below for more information) of the Spin-Off and Merger, which amounts, estimated at approximately $5.8 million, will be deducted from the cash paid by Pfizer to RemainCo immediately prior to the effective time of the Distribution. RemainCo and Pfizer also entered into a side letter, which provided that the SpinCo funding amount will also be reduced by approximately $4 million in connection with the purchase by the Company of shares of capital stock of Artizan Biosciences Inc., and by approximately $7.4 million of transaction expenses allocated to SpinCo.</w:t>
      </w:r>
    </w:p>
    <w:p>
      <w:pPr>
        <w:spacing w:after="0" w:line="137" w:lineRule="exact"/>
        <w:rPr>
          <w:rFonts w:ascii="Times New Roman" w:cs="Times New Roman" w:eastAsia="Times New Roman" w:hAnsi="Times New Roman"/>
          <w:sz w:val="18"/>
          <w:szCs w:val="18"/>
          <w:color w:val="auto"/>
        </w:rPr>
      </w:pPr>
    </w:p>
    <w:p>
      <w:pPr>
        <w:ind w:left="660" w:right="60"/>
        <w:spacing w:after="0" w:line="4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adjustments described above, we anticipate that SpinCo will have approximately $257.8 million in cash as of the Distribution date. The following adjustment has been recorded to cash (in thousands):</w:t>
      </w:r>
    </w:p>
    <w:tbl>
      <w:tblPr>
        <w:tblLayout w:type="fixed"/>
        <w:tblInd w:w="58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SpinCo Funding amount, prior to adjustments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SpinCo cash as of June 30, 2022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r>
      <w:tr>
        <w:trPr>
          <w:trHeight w:val="230"/>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Artizan funding amount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transaction expenses as agreed per the side letter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176"/>
        </w:trPr>
        <w:tc>
          <w:tcPr>
            <w:tcW w:w="8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Distribution expenses - Amount incurred to date (of which $2.6M is accrued as of June 30, 2022 (See Note (B)</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below))</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30"/>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expenses - Estimated remaining amount (See Note (C) below)</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accounting adjustment to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234,590</w:t>
            </w:r>
          </w:p>
        </w:tc>
      </w:tr>
      <w:tr>
        <w:trPr>
          <w:trHeight w:val="21"/>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right="40" w:hanging="328"/>
        <w:spacing w:after="0" w:line="258" w:lineRule="auto"/>
        <w:tabs>
          <w:tab w:leader="none" w:pos="6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$2.6 million of certain expenses incurred and accrued by SpinCo as of June 30, 2022. In accordance with the terms of the Distribution Agreement, all costs and expenses incurred on or prior to the Distribution date (whether or not paid on or prior to the Distribution date) in connection with the preparation, execution, delivery, printing and implementation of the Distribution Agreement, the Transition Services Agreement, the Information Statement and the Spin-Off Registration Statement, and the Distribution and the consummation of the transactions contemplated thereby, shall be charged to and paid by SpinCo, and shall be deemed to be SpinCo liabilities.</w:t>
      </w:r>
    </w:p>
    <w:p>
      <w:pPr>
        <w:spacing w:after="0" w:line="129"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the remaining $2.6 million estimated distribution expenses. The pro forma combined statement of operations for the year ended December 31, 2021 reflects the estimated distribution related costs expected to be incurred by SpinCo subsequent to June 30, 2022. The distribution expenses, except for $1.5 million in recurring costs for audit fees, are nonrecurring.</w:t>
      </w:r>
    </w:p>
    <w:p>
      <w:pPr>
        <w:spacing w:after="0" w:line="121"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RemainCo’s net investment in SpinCo, including other pro forma adjustments, into common shares, no par value, to reflect the number of SpinCo common shares expected to be outstanding at Distribution date. The assumed number of outstanding common shares is based on the RemainCo common shares outstanding as of June 30, 2022 and an assumed pro-rata distribution ratio of one SpinCo common share for every two Biohaven common shares, plus incremental shares of 1,031,503 for SpinCo RSUs and performance share units (“PSUs”) that will be fully vested upon the Effective Time as stated in the Distribution Agreement and assumed to be issued by SpinCo on the Distribution date.</w:t>
      </w:r>
    </w:p>
    <w:p>
      <w:pPr>
        <w:spacing w:after="0" w:line="13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4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compensation costs for the difference in the amount of salary and bonus and stock-based compensation expenses allocated to the historical statements of operations for SpinCo and the amount 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80"/>
          </w:cols>
          <w:pgMar w:left="320" w:top="1197" w:right="399" w:bottom="1440" w:gutter="0" w:footer="0" w:header="0"/>
        </w:sectPr>
      </w:pPr>
    </w:p>
    <w:bookmarkStart w:id="137" w:name="page138"/>
    <w:bookmarkEnd w:id="137"/>
    <w:p>
      <w:pPr>
        <w:ind w:left="328" w:right="200"/>
        <w:spacing w:after="0" w:line="282" w:lineRule="auto"/>
        <w:rPr>
          <w:sz w:val="20"/>
          <w:szCs w:val="20"/>
          <w:color w:val="auto"/>
        </w:rPr>
      </w:pPr>
      <w:r>
        <w:rPr>
          <w:rFonts w:ascii="Times New Roman" w:cs="Times New Roman" w:eastAsia="Times New Roman" w:hAnsi="Times New Roman"/>
          <w:sz w:val="18"/>
          <w:szCs w:val="18"/>
          <w:color w:val="auto"/>
        </w:rPr>
        <w:t>compensation costs that SpinCo expects to incur based on actual current employees that are expected to transfer to SpinCo and based on current employment agreements in place and historical compensation cost amounts.</w:t>
      </w:r>
    </w:p>
    <w:p>
      <w:pPr>
        <w:spacing w:after="0" w:line="10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following adjustments have been recorded to research and development and general and administrative (in thousands):</w:t>
      </w:r>
    </w:p>
    <w:p>
      <w:pPr>
        <w:spacing w:after="0" w:line="193" w:lineRule="exact"/>
        <w:rPr>
          <w:sz w:val="20"/>
          <w:szCs w:val="20"/>
          <w:color w:val="auto"/>
        </w:rPr>
      </w:pPr>
    </w:p>
    <w:tbl>
      <w:tblPr>
        <w:tblLayout w:type="fixed"/>
        <w:tblInd w:w="328"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31, 2021</w:t>
            </w:r>
          </w:p>
        </w:tc>
      </w:tr>
      <w:tr>
        <w:trPr>
          <w:trHeight w:val="228"/>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bonus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Autonomous entity adjustment to research and development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bonus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Autonomous entity adjustment to general and administrative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14,046</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28" w:right="80" w:hanging="328"/>
        <w:spacing w:after="0" w:line="254" w:lineRule="auto"/>
        <w:tabs>
          <w:tab w:leader="none" w:pos="3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a Transition Services Agreement that SpinCo and RemainCo expect to enter into prior to the Spin-Off whereby SpinCo will provide certain transition services to RemainCo, and RemainCo will provide certain transition services to SpinCo, generally for up to one year with options to extend, as necessary. The other income, net adjustment of $17.7 million reflects the Transition Services Agreement revenue that SpinCo would have recorded for services and resources related to commercialization and administration support provided to RemainCo under the Transition Services Agreement. Pricing under this agreement will reflect SpinCo’s costs plus a nominal markup. The research and development adjustment of $5.9 million and the general and administrative adjustment of $0.2 million reflects the costs that SpinCo would have recorded for the services RemainCo will provide to SpinCo. The research and development and general and administrative adjustments reflect the historical services from RemainCo to SpinCo under the terms of the Transition Services Agreement. The parties will enter into the Transition Services Agreement, which is in agreed form, prior to the Separation.</w:t>
      </w:r>
    </w:p>
    <w:p>
      <w:pPr>
        <w:spacing w:after="0" w:line="134" w:lineRule="exact"/>
        <w:rPr>
          <w:rFonts w:ascii="Times New Roman" w:cs="Times New Roman" w:eastAsia="Times New Roman" w:hAnsi="Times New Roman"/>
          <w:sz w:val="18"/>
          <w:szCs w:val="18"/>
          <w:color w:val="auto"/>
        </w:rPr>
      </w:pPr>
    </w:p>
    <w:p>
      <w:pPr>
        <w:ind w:left="328" w:hanging="328"/>
        <w:spacing w:after="0" w:line="258" w:lineRule="auto"/>
        <w:tabs>
          <w:tab w:leader="none" w:pos="32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provision for income taxes of $1.5 million and $0.2 million for the six months ended June 30, 2022 and year ended December 31, 2021, respectively. The adjustment was determined by applying the respective statutory tax rates to pre-tax pro forma adjustments and reflecting the impact of the valuation allowance recorded against deferred taxes, on a jurisdictional level. SpinCo’s post-separation income taxes will be impacted by many factors, including the profitability in local jurisdictions and the legal entity structure subsequent to Separation, and may be materially different from the pro forma results.</w:t>
      </w:r>
    </w:p>
    <w:p>
      <w:pPr>
        <w:spacing w:after="0" w:line="129" w:lineRule="exact"/>
        <w:rPr>
          <w:rFonts w:ascii="Times New Roman" w:cs="Times New Roman" w:eastAsia="Times New Roman" w:hAnsi="Times New Roman"/>
          <w:sz w:val="18"/>
          <w:szCs w:val="18"/>
          <w:color w:val="auto"/>
        </w:rPr>
      </w:pPr>
    </w:p>
    <w:p>
      <w:pPr>
        <w:ind w:left="328" w:right="60" w:hanging="328"/>
        <w:spacing w:after="0" w:line="277" w:lineRule="auto"/>
        <w:tabs>
          <w:tab w:leader="none" w:pos="32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SpinCo common shares used to compute basic earnings per share for the six months ended June 30, 2022 and year ended December 31, 2021 is based on the number of SpinCo common shares assumed to be outstanding on those dates, assuming the anticipated distribution ratio of one share of SpinCo common share for every two RemainCo common shares outstanding, plus incremental shares of 1,031,503 and 610,253 for the six months ended June 30, 2022 and year ended December 31, 2021, respectively, for SpinCo RSUs and PSUs that will be fully vested upon the Effective Time as stated in the Distribution Agreement and assumed to be issued by SpinCo on the Distribution date.</w:t>
      </w:r>
    </w:p>
    <w:p>
      <w:pPr>
        <w:spacing w:after="0" w:line="113" w:lineRule="exact"/>
        <w:rPr>
          <w:rFonts w:ascii="Times New Roman" w:cs="Times New Roman" w:eastAsia="Times New Roman" w:hAnsi="Times New Roman"/>
          <w:sz w:val="17"/>
          <w:szCs w:val="17"/>
          <w:color w:val="auto"/>
        </w:rPr>
      </w:pPr>
    </w:p>
    <w:p>
      <w:pPr>
        <w:ind w:left="328" w:right="40" w:hanging="328"/>
        <w:spacing w:after="0" w:line="261" w:lineRule="auto"/>
        <w:tabs>
          <w:tab w:leader="none" w:pos="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used to compute diluted loss per shares is the same as the basic SpinCo common shares as described in Note (H) above, due to a net loss reported in the unaudited pro forma combined statements of operations for the six months ended June 30, 2022 and year ended December 31, 2021. SpinCo has not considered the effect of outstanding options and warrants expected to be issued by SpinCo as replacement awards to RemainCo employees transferring to SpinCo, since their inclusion would be anti-dilutive.</w:t>
      </w:r>
    </w:p>
    <w:p>
      <w:pPr>
        <w:spacing w:after="0" w:line="125" w:lineRule="exact"/>
        <w:rPr>
          <w:rFonts w:ascii="Times New Roman" w:cs="Times New Roman" w:eastAsia="Times New Roman" w:hAnsi="Times New Roman"/>
          <w:sz w:val="18"/>
          <w:szCs w:val="18"/>
          <w:color w:val="auto"/>
        </w:rPr>
      </w:pPr>
    </w:p>
    <w:p>
      <w:pPr>
        <w:ind w:left="328"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SpinCo’s anti-dilutive pro forma options and warrants are as follows based on the anticipated Distribution Ratio, using an assumed RemainCo value equal to the Merger Consideration pursuant to the Merger Agreement and an assumed SpinCo value of the cash contribution per share from RemainCo to SpinCo for the SpinCo funding amount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888"/>
          </w:cols>
          <w:pgMar w:left="652" w:top="120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pursuant to the Distribution Agreement and subject to adjustments agreed to between RemainCo and Pfizer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698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8"/>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9840"/>
          </w:cols>
          <w:pgMar w:left="980" w:top="1201" w:right="1079" w:bottom="1440" w:gutter="0" w:footer="0" w:header="0"/>
        </w:sectPr>
      </w:pPr>
    </w:p>
    <w:bookmarkStart w:id="139" w:name="page140"/>
    <w:bookmarkEnd w:id="13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the Biohaven Research Business should be read in conjunction with “Unaudited Pro Forma Combined Financial Information” and the audited combined and the unaudited condensed combined financial statements and corresponding notes thereto included elsewhere in this information statement. This discussion includes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All statements other than statements of historical facts contained in this information statement, including statements regarding our future results of operations and financial position, strategy and plans, and our expectations for future operations, are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The words “believe,” “may,” “will,” “estimate,” “continue,” “anticipate,” “design,” “intend,” “expect,” “could,” “plan,” “potential,” “predict,” “seek,” “should,” “would” or the negative version of these words and similar expressions are intended to identify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We have based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on our current expectations and projections about future events and trends that we believe may affect our financial condition, results of operations, strategy, short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and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term business operations and objectives, and financial needs.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include, but are not limited to, statements concerning the following:</w:t>
      </w:r>
    </w:p>
    <w:p>
      <w:pPr>
        <w:spacing w:after="0" w:line="151"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Separation making it more difficult to maintain business and operational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and/or regulatory actions related to the Separation or SpinCo’s business;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related to the implementation of the Separation, including any changes to the configuration of the businesses included in the Separation, if implemented;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combinations or disposals;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the Company’s ongoing business operation;</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clinical trials, including discovery and proof of concept trials, the status of our ongoing clinical trials, commencement dates for new clinical trials, and the timing of clinical trial results;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future milestones, contingent and royalty payments and lease payments (and, in each case, their expected impact on liquidity);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 or product candidates, and our estimates regarding the potential market opportunity for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including our competitors and competing products (including biosimilars);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impact of interest rate changes on our financial statements;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anticipated amounts of future tax payments and benefits (including the potential recognition of unrecognized tax benefits), as well as timing of conclusion of tax audits;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revenues, expenses and needs for additional financing;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00"/>
          </w:cols>
          <w:pgMar w:left="320" w:top="1251" w:right="379" w:bottom="1440" w:gutter="0" w:footer="0" w:header="0"/>
        </w:sectPr>
      </w:pPr>
    </w:p>
    <w:bookmarkStart w:id="140" w:name="page141"/>
    <w:bookmarkEnd w:id="140"/>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business, operations, commercialization plans, clinical trials, regulatory timelines and other plans.</w:t>
      </w:r>
    </w:p>
    <w:p>
      <w:pPr>
        <w:spacing w:after="0" w:line="142" w:lineRule="exact"/>
        <w:rPr>
          <w:sz w:val="20"/>
          <w:szCs w:val="20"/>
          <w:color w:val="auto"/>
        </w:rPr>
      </w:pPr>
    </w:p>
    <w:p>
      <w:pPr>
        <w:ind w:right="80"/>
        <w:spacing w:after="0" w:line="227" w:lineRule="exact"/>
        <w:rPr>
          <w:sz w:val="20"/>
          <w:szCs w:val="20"/>
          <w:color w:val="auto"/>
        </w:rPr>
      </w:pPr>
      <w:r>
        <w:rPr>
          <w:rFonts w:ascii="Times New Roman" w:cs="Times New Roman" w:eastAsia="Times New Roman" w:hAnsi="Times New Roman"/>
          <w:sz w:val="18"/>
          <w:szCs w:val="18"/>
          <w:color w:val="auto"/>
        </w:rPr>
        <w:t>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and circumstances discussed in this information statement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97" w:lineRule="exact"/>
        <w:rPr>
          <w:sz w:val="20"/>
          <w:szCs w:val="20"/>
          <w:color w:val="auto"/>
        </w:rPr>
      </w:pPr>
    </w:p>
    <w:p>
      <w:pPr>
        <w:ind w:right="180"/>
        <w:spacing w:after="0" w:line="226"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information statement to conform these statements to actual results or to changes in our expectations.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is a part with the understanding that our actual future results, levels of activity, performance and events and circumstances may be materially different from what we expect.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RemainCo</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May 9, 2022, the Board of Directors of RemainCo approved and directed RemainCo’s management to effect the spin-off of the Kv7 ion channel activators, glutamate modulation, MPO inhibition and myostatin inhibition platforms, preclinical product candidates, and certain corporate infrastructure currently owned by RemainCo, or collectively the “Biohaven Research Business”. To implement the Spin-Off, RemainCo expects to transfer the related license agreements, intellectual property and RemainCo’s corporate infrastructure, including certain non-commercial employee agreements, share-based awards and other corporate agreements (the “Business”) to Biohaven Ltd, through the Separation. On the Distribution date, each RemainCo shareholder will receive one of our common shares for every two RemainCo common shares held of record at the close of business on September 26, 2022, the record date for the Distribution. Registered shareholders will receive cash in lieu of any fractional common shares that they would have received as a result of the application of the Distribution ratio. Upon completion of the Distribution, we will be a stand-alone, publicly traded company focused on the development of our Kv7 ion channel activators, glutamate modulation, MPO inhibition and myostatin inhibition platforms, which we believe have the potential to alter existing treatment approaches across a diverse set of neurological indications with high unmet need in both large markets and orphan indications.</w:t>
      </w:r>
    </w:p>
    <w:p>
      <w:pPr>
        <w:spacing w:after="0" w:line="14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historical combined financial statements of the Biohaven Research Business have been prepared on a stand-alone basis and are derived from RemainCo’s consolidated financial statements and accounting records and are presented in conformity with U.S. GAAP.</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financial position, results of operations and cash flows of the Biohaven Research Business historically operated, and will continue to operate, as part of RemainCo’s financial position, results of operations and cash flows prior to and until the distribution of our common shares to RemainCo’s shareholders. These historical combined financial statements may not be indicative of the future performance of the Biohaven Research Business and do not necessarily reflect what its combined results of operations, financial condition and cash flows would have been had it operated as a separate, publicly traded company during the periods presented. We expect that changes will occur in the Biohaven Research Business operating structure and capitalization as a result of the separation from RemainCo. See the “Separation and Distribution” for additional detail.</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Where we describe historical business activities in this information statement, we do so as if these transfers had already occurred and RemainCo’s activities related to such assets and liabilities had been performed by SpinCo.</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Refer to Note 1, Nature of the Business and Basis of Presentation, of the Notes to the Combined Financial Statements appearing elsewhere in this information statement for further discussion of the underlying basis used to prepare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20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from RemainCo and Costs to Operate as an Independent Company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combined financial statements reflect the operating results and financial position of the Biohaven Research Business as it was operated by RemainCo prior to the Separation, rather than as an independent company. We will incur ongoing operating expenses to operate as an independent company. These costs will include the cost of various corporate headquarters functions, information technology-related costs and costs to operate stand-alone accounting, legal and other administrative functions. We will also incur non-recurring expenses and non-recurring capital expenditures. As an independent company, our information technology operating costs may be higher than the costs allocated in the historical combined financial statements. It is not practicable to estimate the costs that would have been incurred in each of the periods presented in the historical combined financial statements for the functions described above. Actual costs that would have been incurred if we operated as a stand-alone company during these periods would have depended on various factors, including organizational design, outsourcing and other strategic decisions related to corporate functions, information technology and back office infrastructure. We expect to enter into a transition services agreement with RemainCo, pursuant to which we will provide RemainCo with, and will also receive from RemainCo, certain services and resources related to corporate functions for a transitional period. During the transition from RemainCo, we may incur non-recurring expenses to expand our infrastructure.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a Distribution Agreement with RemainCo and, prior to or concurrently with the Distribution, we have entered into and expect to enter into various agreements with RemainCo relating to transition services, licenses and certain other matters. These agreements will govern our relationship with RemainCo subsequent to the Distribution and include the allocation of employee benefits, taxes and certain other liabilities and obligations attributable to periods prior to, at and after the Distribution. In connection with the Distribution, we agreed to provide RemainCo with indemnities with respect to liabilities arising out of our business and RemainCo will agree to provide us with indemnities with respect to liabilities arising out of the business retained by RemainCo. These agreements also include arrangements with respect to support services and a number of on-going commercial relationships. The terms of these agreements, including information on the business purpose of such agreements, transaction prices, related ongoing contractual commitments and any related special risks or contingencies are discussed in greater detail under “Certain Relationships and Related-Party Transactions” appearing elsewhere in this information statement.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that combines a deep understanding of neuroscience, immunoscience, disease-related biology, advanced chemistry, target receptor selective pharmacology to discover and design new therapies and late stage clinical drug development. We have a portfolio of innovative therapies focused on improving the lives of patients with debilitating neurological and neuropsychiatric diseases including epilepsy, mood disorders, OCD, pain and rare neurological illness such as ALS, SMA and SCA. Our clinical stage portfolio includes a broad pipeline of product candidates across distinct neurology-focused mechanistic platforms, including: Kv7 ion channel activator, glutamate modulation, MPO inhibition and myostatin inhibition.</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advancing our broad and diverse pipeline with at least five clinical trials currently underway or expected to start by the end of 2022. We have built a highly experienced team of senior leaders and neuroscience drug developers who combine a nimble, results-driven biotech mindset with capabilities in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320" w:top="1197"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The following table summarizes our recent and expected clinical-stage milestones: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shd w:val="clear" w:color="auto" w:fill="F2F4F6"/>
          </w:tcPr>
          <w:p>
            <w:pPr>
              <w:ind w:left="20"/>
              <w:spacing w:after="0"/>
              <w:rPr>
                <w:sz w:val="20"/>
                <w:szCs w:val="20"/>
                <w:color w:val="auto"/>
              </w:rPr>
            </w:pPr>
            <w:r>
              <w:rPr>
                <w:rFonts w:ascii="Arial" w:cs="Arial" w:eastAsia="Arial" w:hAnsi="Arial"/>
                <w:sz w:val="16"/>
                <w:szCs w:val="16"/>
                <w:b w:val="1"/>
                <w:bCs w:val="1"/>
                <w:color w:val="auto"/>
              </w:rPr>
              <w:t>Drug Name</w:t>
            </w:r>
          </w:p>
        </w:tc>
        <w:tc>
          <w:tcPr>
            <w:tcW w:w="20" w:type="dxa"/>
            <w:vAlign w:val="bottom"/>
            <w:shd w:val="clear" w:color="auto" w:fill="F2F4F6"/>
          </w:tcPr>
          <w:p>
            <w:pPr>
              <w:spacing w:after="0"/>
              <w:rPr>
                <w:sz w:val="18"/>
                <w:szCs w:val="18"/>
                <w:color w:val="auto"/>
              </w:rPr>
            </w:pPr>
          </w:p>
        </w:tc>
        <w:tc>
          <w:tcPr>
            <w:tcW w:w="2120" w:type="dxa"/>
            <w:vAlign w:val="bottom"/>
            <w:shd w:val="clear" w:color="auto" w:fill="F2F4F6"/>
          </w:tcPr>
          <w:p>
            <w:pPr>
              <w:spacing w:after="0"/>
              <w:rPr>
                <w:sz w:val="20"/>
                <w:szCs w:val="20"/>
                <w:color w:val="auto"/>
              </w:rPr>
            </w:pPr>
            <w:r>
              <w:rPr>
                <w:rFonts w:ascii="Arial" w:cs="Arial" w:eastAsia="Arial" w:hAnsi="Arial"/>
                <w:sz w:val="16"/>
                <w:szCs w:val="16"/>
                <w:b w:val="1"/>
                <w:bCs w:val="1"/>
                <w:color w:val="auto"/>
              </w:rPr>
              <w:t>Indication</w:t>
            </w:r>
          </w:p>
        </w:tc>
        <w:tc>
          <w:tcPr>
            <w:tcW w:w="1340" w:type="dxa"/>
            <w:vAlign w:val="bottom"/>
            <w:shd w:val="clear" w:color="auto" w:fill="F2F4F6"/>
          </w:tcPr>
          <w:p>
            <w:pPr>
              <w:ind w:left="20"/>
              <w:spacing w:after="0"/>
              <w:rPr>
                <w:sz w:val="20"/>
                <w:szCs w:val="20"/>
                <w:color w:val="auto"/>
              </w:rPr>
            </w:pPr>
            <w:r>
              <w:rPr>
                <w:rFonts w:ascii="Arial" w:cs="Arial" w:eastAsia="Arial" w:hAnsi="Arial"/>
                <w:sz w:val="16"/>
                <w:szCs w:val="16"/>
                <w:b w:val="1"/>
                <w:bCs w:val="1"/>
                <w:color w:val="auto"/>
              </w:rPr>
              <w:t>1H2021</w:t>
            </w:r>
          </w:p>
        </w:tc>
        <w:tc>
          <w:tcPr>
            <w:tcW w:w="1320" w:type="dxa"/>
            <w:vAlign w:val="bottom"/>
            <w:shd w:val="clear" w:color="auto" w:fill="F2F4F6"/>
          </w:tcPr>
          <w:p>
            <w:pPr>
              <w:ind w:left="20"/>
              <w:spacing w:after="0"/>
              <w:rPr>
                <w:sz w:val="20"/>
                <w:szCs w:val="20"/>
                <w:color w:val="auto"/>
              </w:rPr>
            </w:pPr>
            <w:r>
              <w:rPr>
                <w:rFonts w:ascii="Arial" w:cs="Arial" w:eastAsia="Arial" w:hAnsi="Arial"/>
                <w:sz w:val="16"/>
                <w:szCs w:val="16"/>
                <w:b w:val="1"/>
                <w:bCs w:val="1"/>
                <w:color w:val="auto"/>
              </w:rPr>
              <w:t>2H2021</w:t>
            </w:r>
          </w:p>
        </w:tc>
        <w:tc>
          <w:tcPr>
            <w:tcW w:w="680" w:type="dxa"/>
            <w:vAlign w:val="bottom"/>
            <w:shd w:val="clear" w:color="auto" w:fill="F2F4F6"/>
          </w:tcPr>
          <w:p>
            <w:pPr>
              <w:ind w:left="20"/>
              <w:spacing w:after="0"/>
              <w:rPr>
                <w:sz w:val="20"/>
                <w:szCs w:val="20"/>
                <w:color w:val="auto"/>
              </w:rPr>
            </w:pPr>
            <w:r>
              <w:rPr>
                <w:rFonts w:ascii="Arial" w:cs="Arial" w:eastAsia="Arial" w:hAnsi="Arial"/>
                <w:sz w:val="16"/>
                <w:szCs w:val="16"/>
                <w:b w:val="1"/>
                <w:bCs w:val="1"/>
                <w:color w:val="auto"/>
              </w:rPr>
              <w:t>1H2022</w:t>
            </w:r>
          </w:p>
        </w:tc>
        <w:tc>
          <w:tcPr>
            <w:tcW w:w="680" w:type="dxa"/>
            <w:vAlign w:val="bottom"/>
            <w:shd w:val="clear" w:color="auto" w:fill="F2F4F6"/>
          </w:tcPr>
          <w:p>
            <w:pPr>
              <w:spacing w:after="0"/>
              <w:rPr>
                <w:sz w:val="18"/>
                <w:szCs w:val="18"/>
                <w:color w:val="auto"/>
              </w:rPr>
            </w:pPr>
          </w:p>
        </w:tc>
        <w:tc>
          <w:tcPr>
            <w:tcW w:w="1340" w:type="dxa"/>
            <w:vAlign w:val="bottom"/>
            <w:gridSpan w:val="2"/>
            <w:shd w:val="clear" w:color="auto" w:fill="F2F4F6"/>
          </w:tcPr>
          <w:p>
            <w:pPr>
              <w:ind w:left="20"/>
              <w:spacing w:after="0"/>
              <w:rPr>
                <w:sz w:val="20"/>
                <w:szCs w:val="20"/>
                <w:color w:val="auto"/>
              </w:rPr>
            </w:pPr>
            <w:r>
              <w:rPr>
                <w:rFonts w:ascii="Arial" w:cs="Arial" w:eastAsia="Arial" w:hAnsi="Arial"/>
                <w:sz w:val="16"/>
                <w:szCs w:val="16"/>
                <w:b w:val="1"/>
                <w:bCs w:val="1"/>
                <w:color w:val="auto"/>
              </w:rPr>
              <w:t>2H2022</w:t>
            </w:r>
          </w:p>
        </w:tc>
        <w:tc>
          <w:tcPr>
            <w:tcW w:w="1360" w:type="dxa"/>
            <w:vAlign w:val="bottom"/>
            <w:shd w:val="clear" w:color="auto" w:fill="F2F4F6"/>
          </w:tcPr>
          <w:p>
            <w:pPr>
              <w:jc w:val="right"/>
              <w:ind w:right="90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4"/>
        </w:trPr>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8C56EE"/>
              </w:rPr>
              <w:t>BHV-7000</w:t>
            </w: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vMerge w:val="continue"/>
          </w:tcPr>
          <w:p>
            <w:pPr>
              <w:spacing w:after="0"/>
              <w:rPr>
                <w:sz w:val="19"/>
                <w:szCs w:val="19"/>
                <w:color w:val="auto"/>
              </w:rPr>
            </w:pPr>
          </w:p>
        </w:tc>
        <w:tc>
          <w:tcPr>
            <w:tcW w:w="20" w:type="dxa"/>
            <w:vAlign w:val="bottom"/>
            <w:shd w:val="clear" w:color="auto" w:fill="8C56EE"/>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Focal epilepsy</w:t>
            </w:r>
          </w:p>
        </w:tc>
        <w:tc>
          <w:tcPr>
            <w:tcW w:w="1340" w:type="dxa"/>
            <w:vAlign w:val="bottom"/>
            <w:shd w:val="clear" w:color="auto" w:fill="D9C6F9"/>
          </w:tcPr>
          <w:p>
            <w:pPr>
              <w:spacing w:after="0"/>
              <w:rPr>
                <w:sz w:val="19"/>
                <w:szCs w:val="19"/>
                <w:color w:val="auto"/>
              </w:rPr>
            </w:pPr>
          </w:p>
        </w:tc>
        <w:tc>
          <w:tcPr>
            <w:tcW w:w="1320" w:type="dxa"/>
            <w:vAlign w:val="bottom"/>
            <w:shd w:val="clear" w:color="auto" w:fill="D9C6F9"/>
          </w:tcPr>
          <w:p>
            <w:pPr>
              <w:spacing w:after="0"/>
              <w:rPr>
                <w:sz w:val="19"/>
                <w:szCs w:val="19"/>
                <w:color w:val="auto"/>
              </w:rPr>
            </w:pPr>
          </w:p>
        </w:tc>
        <w:tc>
          <w:tcPr>
            <w:tcW w:w="680" w:type="dxa"/>
            <w:vAlign w:val="bottom"/>
            <w:shd w:val="clear" w:color="auto" w:fill="D9C6F9"/>
          </w:tcPr>
          <w:p>
            <w:pPr>
              <w:spacing w:after="0"/>
              <w:rPr>
                <w:sz w:val="19"/>
                <w:szCs w:val="19"/>
                <w:color w:val="auto"/>
              </w:rPr>
            </w:pPr>
          </w:p>
        </w:tc>
        <w:tc>
          <w:tcPr>
            <w:tcW w:w="680" w:type="dxa"/>
            <w:vAlign w:val="bottom"/>
            <w:shd w:val="clear" w:color="auto" w:fill="D9C6F9"/>
          </w:tcPr>
          <w:p>
            <w:pPr>
              <w:spacing w:after="0"/>
              <w:rPr>
                <w:sz w:val="19"/>
                <w:szCs w:val="19"/>
                <w:color w:val="auto"/>
              </w:rPr>
            </w:pPr>
          </w:p>
        </w:tc>
        <w:tc>
          <w:tcPr>
            <w:tcW w:w="1340" w:type="dxa"/>
            <w:vAlign w:val="bottom"/>
            <w:gridSpan w:val="2"/>
            <w:shd w:val="clear" w:color="auto" w:fill="8C56EE"/>
          </w:tcPr>
          <w:p>
            <w:pPr>
              <w:jc w:val="center"/>
              <w:spacing w:after="0"/>
              <w:rPr>
                <w:sz w:val="20"/>
                <w:szCs w:val="20"/>
                <w:color w:val="auto"/>
              </w:rPr>
            </w:pPr>
            <w:r>
              <w:rPr>
                <w:rFonts w:ascii="Arial" w:cs="Arial" w:eastAsia="Arial" w:hAnsi="Arial"/>
                <w:sz w:val="14"/>
                <w:szCs w:val="14"/>
                <w:b w:val="1"/>
                <w:bCs w:val="1"/>
                <w:color w:val="FFFFFF"/>
              </w:rPr>
              <w:t>Start Phase 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3"/>
                <w:szCs w:val="13"/>
                <w:color w:val="8C56EE"/>
              </w:rPr>
              <w:t>Kv7 channel modulator</w:t>
            </w:r>
          </w:p>
        </w:tc>
        <w:tc>
          <w:tcPr>
            <w:tcW w:w="20" w:type="dxa"/>
            <w:vAlign w:val="bottom"/>
            <w:shd w:val="clear" w:color="auto" w:fill="8C56EE"/>
          </w:tcPr>
          <w:p>
            <w:pPr>
              <w:spacing w:after="0"/>
              <w:rPr>
                <w:sz w:val="11"/>
                <w:szCs w:val="11"/>
                <w:color w:val="auto"/>
              </w:rPr>
            </w:pPr>
          </w:p>
        </w:tc>
        <w:tc>
          <w:tcPr>
            <w:tcW w:w="2120" w:type="dxa"/>
            <w:vAlign w:val="bottom"/>
          </w:tcPr>
          <w:p>
            <w:pPr>
              <w:spacing w:after="0"/>
              <w:rPr>
                <w:sz w:val="11"/>
                <w:szCs w:val="11"/>
                <w:color w:val="auto"/>
              </w:rPr>
            </w:pPr>
          </w:p>
        </w:tc>
        <w:tc>
          <w:tcPr>
            <w:tcW w:w="1340" w:type="dxa"/>
            <w:vAlign w:val="bottom"/>
            <w:shd w:val="clear" w:color="auto" w:fill="D9C6F9"/>
          </w:tcPr>
          <w:p>
            <w:pPr>
              <w:spacing w:after="0"/>
              <w:rPr>
                <w:sz w:val="11"/>
                <w:szCs w:val="11"/>
                <w:color w:val="auto"/>
              </w:rPr>
            </w:pPr>
          </w:p>
        </w:tc>
        <w:tc>
          <w:tcPr>
            <w:tcW w:w="1320" w:type="dxa"/>
            <w:vAlign w:val="bottom"/>
            <w:shd w:val="clear" w:color="auto" w:fill="D9C6F9"/>
          </w:tcPr>
          <w:p>
            <w:pPr>
              <w:spacing w:after="0"/>
              <w:rPr>
                <w:sz w:val="11"/>
                <w:szCs w:val="11"/>
                <w:color w:val="auto"/>
              </w:rPr>
            </w:pPr>
          </w:p>
        </w:tc>
        <w:tc>
          <w:tcPr>
            <w:tcW w:w="680" w:type="dxa"/>
            <w:vAlign w:val="bottom"/>
            <w:shd w:val="clear" w:color="auto" w:fill="D9C6F9"/>
          </w:tcPr>
          <w:p>
            <w:pPr>
              <w:spacing w:after="0"/>
              <w:rPr>
                <w:sz w:val="11"/>
                <w:szCs w:val="11"/>
                <w:color w:val="auto"/>
              </w:rPr>
            </w:pPr>
          </w:p>
        </w:tc>
        <w:tc>
          <w:tcPr>
            <w:tcW w:w="680" w:type="dxa"/>
            <w:vAlign w:val="bottom"/>
            <w:shd w:val="clear" w:color="auto" w:fill="D9C6F9"/>
          </w:tcPr>
          <w:p>
            <w:pPr>
              <w:spacing w:after="0"/>
              <w:rPr>
                <w:sz w:val="11"/>
                <w:szCs w:val="11"/>
                <w:color w:val="auto"/>
              </w:rPr>
            </w:pPr>
          </w:p>
        </w:tc>
        <w:tc>
          <w:tcPr>
            <w:tcW w:w="680" w:type="dxa"/>
            <w:vAlign w:val="bottom"/>
            <w:shd w:val="clear" w:color="auto" w:fill="8C56EE"/>
          </w:tcPr>
          <w:p>
            <w:pPr>
              <w:spacing w:after="0"/>
              <w:rPr>
                <w:sz w:val="11"/>
                <w:szCs w:val="11"/>
                <w:color w:val="auto"/>
              </w:rPr>
            </w:pPr>
          </w:p>
        </w:tc>
        <w:tc>
          <w:tcPr>
            <w:tcW w:w="660" w:type="dxa"/>
            <w:vAlign w:val="bottom"/>
            <w:shd w:val="clear" w:color="auto" w:fill="8C56E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40" w:type="dxa"/>
            <w:vAlign w:val="bottom"/>
            <w:gridSpan w:val="3"/>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58BD2B"/>
              </w:rPr>
              <w:t>Troriluzole</w:t>
            </w:r>
          </w:p>
        </w:tc>
        <w:tc>
          <w:tcPr>
            <w:tcW w:w="20" w:type="dxa"/>
            <w:vAlign w:val="bottom"/>
            <w:shd w:val="clear" w:color="auto" w:fill="58BD2B"/>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Spinocerebellar ataxia</w:t>
            </w:r>
          </w:p>
        </w:tc>
        <w:tc>
          <w:tcPr>
            <w:tcW w:w="1340" w:type="dxa"/>
            <w:vAlign w:val="bottom"/>
            <w:shd w:val="clear" w:color="auto" w:fill="DBE9CD"/>
          </w:tcPr>
          <w:p>
            <w:pPr>
              <w:spacing w:after="0"/>
              <w:rPr>
                <w:sz w:val="24"/>
                <w:szCs w:val="24"/>
                <w:color w:val="auto"/>
              </w:rPr>
            </w:pPr>
          </w:p>
        </w:tc>
        <w:tc>
          <w:tcPr>
            <w:tcW w:w="1320" w:type="dxa"/>
            <w:vAlign w:val="bottom"/>
            <w:shd w:val="clear" w:color="auto" w:fill="DBE9CD"/>
          </w:tcPr>
          <w:p>
            <w:pPr>
              <w:spacing w:after="0"/>
              <w:rPr>
                <w:sz w:val="24"/>
                <w:szCs w:val="24"/>
                <w:color w:val="auto"/>
              </w:rPr>
            </w:pPr>
          </w:p>
        </w:tc>
        <w:tc>
          <w:tcPr>
            <w:tcW w:w="1360" w:type="dxa"/>
            <w:vAlign w:val="bottom"/>
            <w:gridSpan w:val="2"/>
            <w:shd w:val="clear" w:color="auto" w:fill="58BD2B"/>
          </w:tcPr>
          <w:p>
            <w:pPr>
              <w:ind w:left="440"/>
              <w:spacing w:after="0"/>
              <w:rPr>
                <w:sz w:val="20"/>
                <w:szCs w:val="20"/>
                <w:color w:val="auto"/>
              </w:rPr>
            </w:pPr>
            <w:r>
              <w:rPr>
                <w:rFonts w:ascii="Arial" w:cs="Arial" w:eastAsia="Arial" w:hAnsi="Arial"/>
                <w:sz w:val="14"/>
                <w:szCs w:val="14"/>
                <w:b w:val="1"/>
                <w:bCs w:val="1"/>
                <w:color w:val="FFFFFF"/>
              </w:rPr>
              <w:t>Topline</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80" w:type="dxa"/>
            <w:vAlign w:val="bottom"/>
            <w:vMerge w:val="continue"/>
          </w:tcPr>
          <w:p>
            <w:pPr>
              <w:spacing w:after="0"/>
              <w:rPr>
                <w:sz w:val="9"/>
                <w:szCs w:val="9"/>
                <w:color w:val="auto"/>
              </w:rPr>
            </w:pPr>
          </w:p>
        </w:tc>
        <w:tc>
          <w:tcPr>
            <w:tcW w:w="20" w:type="dxa"/>
            <w:vAlign w:val="bottom"/>
            <w:shd w:val="clear" w:color="auto" w:fill="58BD2B"/>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shd w:val="clear" w:color="auto" w:fill="DBE9CD"/>
          </w:tcPr>
          <w:p>
            <w:pPr>
              <w:spacing w:after="0"/>
              <w:rPr>
                <w:sz w:val="9"/>
                <w:szCs w:val="9"/>
                <w:color w:val="auto"/>
              </w:rPr>
            </w:pPr>
          </w:p>
        </w:tc>
        <w:tc>
          <w:tcPr>
            <w:tcW w:w="1320" w:type="dxa"/>
            <w:vAlign w:val="bottom"/>
            <w:shd w:val="clear" w:color="auto" w:fill="DBE9CD"/>
          </w:tcPr>
          <w:p>
            <w:pPr>
              <w:spacing w:after="0"/>
              <w:rPr>
                <w:sz w:val="9"/>
                <w:szCs w:val="9"/>
                <w:color w:val="auto"/>
              </w:rPr>
            </w:pPr>
          </w:p>
        </w:tc>
        <w:tc>
          <w:tcPr>
            <w:tcW w:w="680" w:type="dxa"/>
            <w:vAlign w:val="bottom"/>
            <w:shd w:val="clear" w:color="auto" w:fill="58BD2B"/>
          </w:tcPr>
          <w:p>
            <w:pPr>
              <w:spacing w:after="0"/>
              <w:rPr>
                <w:sz w:val="9"/>
                <w:szCs w:val="9"/>
                <w:color w:val="auto"/>
              </w:rPr>
            </w:pPr>
          </w:p>
        </w:tc>
        <w:tc>
          <w:tcPr>
            <w:tcW w:w="680" w:type="dxa"/>
            <w:vAlign w:val="bottom"/>
            <w:shd w:val="clear" w:color="auto" w:fill="58BD2B"/>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380" w:type="dxa"/>
            <w:vAlign w:val="bottom"/>
            <w:vMerge w:val="restart"/>
          </w:tcPr>
          <w:p>
            <w:pPr>
              <w:ind w:left="20"/>
              <w:spacing w:after="0"/>
              <w:rPr>
                <w:sz w:val="20"/>
                <w:szCs w:val="20"/>
                <w:color w:val="auto"/>
              </w:rPr>
            </w:pPr>
            <w:r>
              <w:rPr>
                <w:rFonts w:ascii="Arial" w:cs="Arial" w:eastAsia="Arial" w:hAnsi="Arial"/>
                <w:sz w:val="13"/>
                <w:szCs w:val="13"/>
                <w:color w:val="58BD2B"/>
              </w:rPr>
              <w:t>NCE prodrug of riluzole</w:t>
            </w:r>
          </w:p>
        </w:tc>
        <w:tc>
          <w:tcPr>
            <w:tcW w:w="20" w:type="dxa"/>
            <w:vAlign w:val="bottom"/>
            <w:shd w:val="clear" w:color="auto" w:fill="58BD2B"/>
          </w:tcPr>
          <w:p>
            <w:pPr>
              <w:spacing w:after="0"/>
              <w:rPr>
                <w:sz w:val="3"/>
                <w:szCs w:val="3"/>
                <w:color w:val="auto"/>
              </w:rPr>
            </w:pPr>
          </w:p>
        </w:tc>
        <w:tc>
          <w:tcPr>
            <w:tcW w:w="2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380" w:type="dxa"/>
            <w:vAlign w:val="bottom"/>
            <w:vMerge w:val="continue"/>
          </w:tcPr>
          <w:p>
            <w:pPr>
              <w:spacing w:after="0"/>
              <w:rPr>
                <w:sz w:val="10"/>
                <w:szCs w:val="10"/>
                <w:color w:val="auto"/>
              </w:rPr>
            </w:pPr>
          </w:p>
        </w:tc>
        <w:tc>
          <w:tcPr>
            <w:tcW w:w="20" w:type="dxa"/>
            <w:vAlign w:val="bottom"/>
            <w:shd w:val="clear" w:color="auto" w:fill="58BD2B"/>
          </w:tcPr>
          <w:p>
            <w:pPr>
              <w:spacing w:after="0"/>
              <w:rPr>
                <w:sz w:val="10"/>
                <w:szCs w:val="10"/>
                <w:color w:val="auto"/>
              </w:rPr>
            </w:pPr>
          </w:p>
        </w:tc>
        <w:tc>
          <w:tcPr>
            <w:tcW w:w="2120" w:type="dxa"/>
            <w:vAlign w:val="bottom"/>
            <w:vMerge w:val="restart"/>
          </w:tcPr>
          <w:p>
            <w:pPr>
              <w:spacing w:after="0"/>
              <w:rPr>
                <w:sz w:val="20"/>
                <w:szCs w:val="20"/>
                <w:color w:val="auto"/>
              </w:rPr>
            </w:pPr>
            <w:r>
              <w:rPr>
                <w:rFonts w:ascii="Arial" w:cs="Arial" w:eastAsia="Arial" w:hAnsi="Arial"/>
                <w:sz w:val="14"/>
                <w:szCs w:val="14"/>
                <w:color w:val="auto"/>
              </w:rPr>
              <w:t>Obsessive-Compulsive Disorder</w:t>
            </w:r>
          </w:p>
        </w:tc>
        <w:tc>
          <w:tcPr>
            <w:tcW w:w="1340" w:type="dxa"/>
            <w:vAlign w:val="bottom"/>
            <w:shd w:val="clear" w:color="auto" w:fill="DBE9CD"/>
          </w:tcPr>
          <w:p>
            <w:pPr>
              <w:spacing w:after="0"/>
              <w:rPr>
                <w:sz w:val="10"/>
                <w:szCs w:val="10"/>
                <w:color w:val="auto"/>
              </w:rPr>
            </w:pPr>
          </w:p>
        </w:tc>
        <w:tc>
          <w:tcPr>
            <w:tcW w:w="1320" w:type="dxa"/>
            <w:vAlign w:val="bottom"/>
            <w:shd w:val="clear" w:color="auto" w:fill="DBE9CD"/>
          </w:tcPr>
          <w:p>
            <w:pPr>
              <w:spacing w:after="0"/>
              <w:rPr>
                <w:sz w:val="10"/>
                <w:szCs w:val="10"/>
                <w:color w:val="auto"/>
              </w:rPr>
            </w:pPr>
          </w:p>
        </w:tc>
        <w:tc>
          <w:tcPr>
            <w:tcW w:w="680" w:type="dxa"/>
            <w:vAlign w:val="bottom"/>
            <w:shd w:val="clear" w:color="auto" w:fill="DBE9CD"/>
          </w:tcPr>
          <w:p>
            <w:pPr>
              <w:spacing w:after="0"/>
              <w:rPr>
                <w:sz w:val="10"/>
                <w:szCs w:val="10"/>
                <w:color w:val="auto"/>
              </w:rPr>
            </w:pPr>
          </w:p>
        </w:tc>
        <w:tc>
          <w:tcPr>
            <w:tcW w:w="680" w:type="dxa"/>
            <w:vAlign w:val="bottom"/>
            <w:shd w:val="clear" w:color="auto" w:fill="DBE9CD"/>
          </w:tcPr>
          <w:p>
            <w:pPr>
              <w:spacing w:after="0"/>
              <w:rPr>
                <w:sz w:val="10"/>
                <w:szCs w:val="10"/>
                <w:color w:val="auto"/>
              </w:rPr>
            </w:pPr>
          </w:p>
        </w:tc>
        <w:tc>
          <w:tcPr>
            <w:tcW w:w="680" w:type="dxa"/>
            <w:vAlign w:val="bottom"/>
            <w:shd w:val="clear" w:color="auto" w:fill="DBE9CD"/>
          </w:tcPr>
          <w:p>
            <w:pPr>
              <w:spacing w:after="0"/>
              <w:rPr>
                <w:sz w:val="10"/>
                <w:szCs w:val="10"/>
                <w:color w:val="auto"/>
              </w:rPr>
            </w:pPr>
          </w:p>
        </w:tc>
        <w:tc>
          <w:tcPr>
            <w:tcW w:w="660" w:type="dxa"/>
            <w:vAlign w:val="bottom"/>
            <w:shd w:val="clear" w:color="auto" w:fill="DBE9CD"/>
          </w:tcPr>
          <w:p>
            <w:pPr>
              <w:spacing w:after="0"/>
              <w:rPr>
                <w:sz w:val="10"/>
                <w:szCs w:val="10"/>
                <w:color w:val="auto"/>
              </w:rPr>
            </w:pPr>
          </w:p>
        </w:tc>
        <w:tc>
          <w:tcPr>
            <w:tcW w:w="1360" w:type="dxa"/>
            <w:vAlign w:val="bottom"/>
            <w:vMerge w:val="restart"/>
            <w:shd w:val="clear" w:color="auto" w:fill="58BD2B"/>
          </w:tcPr>
          <w:p>
            <w:pPr>
              <w:jc w:val="center"/>
              <w:spacing w:after="0"/>
              <w:rPr>
                <w:sz w:val="20"/>
                <w:szCs w:val="20"/>
                <w:color w:val="auto"/>
              </w:rPr>
            </w:pPr>
            <w:r>
              <w:rPr>
                <w:rFonts w:ascii="Arial" w:cs="Arial" w:eastAsia="Arial" w:hAnsi="Arial"/>
                <w:sz w:val="14"/>
                <w:szCs w:val="14"/>
                <w:b w:val="1"/>
                <w:bCs w:val="1"/>
                <w:color w:val="FFFFFF"/>
              </w:rPr>
              <w:t>Complete</w:t>
            </w:r>
          </w:p>
        </w:tc>
        <w:tc>
          <w:tcPr>
            <w:tcW w:w="0" w:type="dxa"/>
            <w:vAlign w:val="bottom"/>
          </w:tcPr>
          <w:p>
            <w:pPr>
              <w:spacing w:after="0"/>
              <w:rPr>
                <w:sz w:val="1"/>
                <w:szCs w:val="1"/>
                <w:color w:val="auto"/>
              </w:rPr>
            </w:pPr>
          </w:p>
        </w:tc>
      </w:tr>
      <w:tr>
        <w:trPr>
          <w:trHeight w:val="41"/>
        </w:trPr>
        <w:tc>
          <w:tcPr>
            <w:tcW w:w="2380" w:type="dxa"/>
            <w:vAlign w:val="bottom"/>
          </w:tcPr>
          <w:p>
            <w:pPr>
              <w:spacing w:after="0"/>
              <w:rPr>
                <w:sz w:val="3"/>
                <w:szCs w:val="3"/>
                <w:color w:val="auto"/>
              </w:rPr>
            </w:pPr>
          </w:p>
        </w:tc>
        <w:tc>
          <w:tcPr>
            <w:tcW w:w="20" w:type="dxa"/>
            <w:vAlign w:val="bottom"/>
            <w:shd w:val="clear" w:color="auto" w:fill="58BD2B"/>
          </w:tcPr>
          <w:p>
            <w:pPr>
              <w:spacing w:after="0"/>
              <w:rPr>
                <w:sz w:val="3"/>
                <w:szCs w:val="3"/>
                <w:color w:val="auto"/>
              </w:rPr>
            </w:pPr>
          </w:p>
        </w:tc>
        <w:tc>
          <w:tcPr>
            <w:tcW w:w="2120" w:type="dxa"/>
            <w:vAlign w:val="bottom"/>
            <w:vMerge w:val="continue"/>
          </w:tcPr>
          <w:p>
            <w:pPr>
              <w:spacing w:after="0"/>
              <w:rPr>
                <w:sz w:val="3"/>
                <w:szCs w:val="3"/>
                <w:color w:val="auto"/>
              </w:rPr>
            </w:pPr>
          </w:p>
        </w:tc>
        <w:tc>
          <w:tcPr>
            <w:tcW w:w="1340" w:type="dxa"/>
            <w:vAlign w:val="bottom"/>
            <w:shd w:val="clear" w:color="auto" w:fill="DBE9CD"/>
          </w:tcPr>
          <w:p>
            <w:pPr>
              <w:spacing w:after="0"/>
              <w:rPr>
                <w:sz w:val="3"/>
                <w:szCs w:val="3"/>
                <w:color w:val="auto"/>
              </w:rPr>
            </w:pPr>
          </w:p>
        </w:tc>
        <w:tc>
          <w:tcPr>
            <w:tcW w:w="1320" w:type="dxa"/>
            <w:vAlign w:val="bottom"/>
            <w:shd w:val="clear" w:color="auto" w:fill="DBE9CD"/>
          </w:tcPr>
          <w:p>
            <w:pPr>
              <w:spacing w:after="0"/>
              <w:rPr>
                <w:sz w:val="3"/>
                <w:szCs w:val="3"/>
                <w:color w:val="auto"/>
              </w:rPr>
            </w:pPr>
          </w:p>
        </w:tc>
        <w:tc>
          <w:tcPr>
            <w:tcW w:w="680" w:type="dxa"/>
            <w:vAlign w:val="bottom"/>
            <w:shd w:val="clear" w:color="auto" w:fill="DBE9CD"/>
          </w:tcPr>
          <w:p>
            <w:pPr>
              <w:spacing w:after="0"/>
              <w:rPr>
                <w:sz w:val="3"/>
                <w:szCs w:val="3"/>
                <w:color w:val="auto"/>
              </w:rPr>
            </w:pPr>
          </w:p>
        </w:tc>
        <w:tc>
          <w:tcPr>
            <w:tcW w:w="680" w:type="dxa"/>
            <w:vAlign w:val="bottom"/>
            <w:shd w:val="clear" w:color="auto" w:fill="DBE9CD"/>
          </w:tcPr>
          <w:p>
            <w:pPr>
              <w:spacing w:after="0"/>
              <w:rPr>
                <w:sz w:val="3"/>
                <w:szCs w:val="3"/>
                <w:color w:val="auto"/>
              </w:rPr>
            </w:pPr>
          </w:p>
        </w:tc>
        <w:tc>
          <w:tcPr>
            <w:tcW w:w="680" w:type="dxa"/>
            <w:vAlign w:val="bottom"/>
            <w:shd w:val="clear" w:color="auto" w:fill="DBE9CD"/>
          </w:tcPr>
          <w:p>
            <w:pPr>
              <w:spacing w:after="0"/>
              <w:rPr>
                <w:sz w:val="3"/>
                <w:szCs w:val="3"/>
                <w:color w:val="auto"/>
              </w:rPr>
            </w:pPr>
          </w:p>
        </w:tc>
        <w:tc>
          <w:tcPr>
            <w:tcW w:w="660" w:type="dxa"/>
            <w:vAlign w:val="bottom"/>
            <w:shd w:val="clear" w:color="auto" w:fill="DBE9CD"/>
          </w:tcPr>
          <w:p>
            <w:pPr>
              <w:spacing w:after="0"/>
              <w:rPr>
                <w:sz w:val="3"/>
                <w:szCs w:val="3"/>
                <w:color w:val="auto"/>
              </w:rPr>
            </w:pPr>
          </w:p>
        </w:tc>
        <w:tc>
          <w:tcPr>
            <w:tcW w:w="1360" w:type="dxa"/>
            <w:vAlign w:val="bottom"/>
            <w:vMerge w:val="continue"/>
            <w:shd w:val="clear" w:color="auto" w:fill="58BD2B"/>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20" w:type="dxa"/>
            <w:vAlign w:val="bottom"/>
            <w:shd w:val="clear" w:color="auto" w:fill="58BD2B"/>
          </w:tcPr>
          <w:p>
            <w:pPr>
              <w:spacing w:after="0"/>
              <w:rPr>
                <w:sz w:val="17"/>
                <w:szCs w:val="17"/>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(“OCD”)</w:t>
            </w:r>
          </w:p>
        </w:tc>
        <w:tc>
          <w:tcPr>
            <w:tcW w:w="1340" w:type="dxa"/>
            <w:vAlign w:val="bottom"/>
            <w:shd w:val="clear" w:color="auto" w:fill="DBE9CD"/>
          </w:tcPr>
          <w:p>
            <w:pPr>
              <w:spacing w:after="0"/>
              <w:rPr>
                <w:sz w:val="17"/>
                <w:szCs w:val="17"/>
                <w:color w:val="auto"/>
              </w:rPr>
            </w:pPr>
          </w:p>
        </w:tc>
        <w:tc>
          <w:tcPr>
            <w:tcW w:w="1320" w:type="dxa"/>
            <w:vAlign w:val="bottom"/>
            <w:shd w:val="clear" w:color="auto" w:fill="DBE9CD"/>
          </w:tcPr>
          <w:p>
            <w:pPr>
              <w:spacing w:after="0"/>
              <w:rPr>
                <w:sz w:val="17"/>
                <w:szCs w:val="17"/>
                <w:color w:val="auto"/>
              </w:rPr>
            </w:pPr>
          </w:p>
        </w:tc>
        <w:tc>
          <w:tcPr>
            <w:tcW w:w="680" w:type="dxa"/>
            <w:vAlign w:val="bottom"/>
            <w:shd w:val="clear" w:color="auto" w:fill="DBE9CD"/>
          </w:tcPr>
          <w:p>
            <w:pPr>
              <w:spacing w:after="0"/>
              <w:rPr>
                <w:sz w:val="17"/>
                <w:szCs w:val="17"/>
                <w:color w:val="auto"/>
              </w:rPr>
            </w:pPr>
          </w:p>
        </w:tc>
        <w:tc>
          <w:tcPr>
            <w:tcW w:w="680" w:type="dxa"/>
            <w:vAlign w:val="bottom"/>
            <w:shd w:val="clear" w:color="auto" w:fill="DBE9CD"/>
          </w:tcPr>
          <w:p>
            <w:pPr>
              <w:spacing w:after="0"/>
              <w:rPr>
                <w:sz w:val="17"/>
                <w:szCs w:val="17"/>
                <w:color w:val="auto"/>
              </w:rPr>
            </w:pPr>
          </w:p>
        </w:tc>
        <w:tc>
          <w:tcPr>
            <w:tcW w:w="680" w:type="dxa"/>
            <w:vAlign w:val="bottom"/>
            <w:shd w:val="clear" w:color="auto" w:fill="DBE9CD"/>
          </w:tcPr>
          <w:p>
            <w:pPr>
              <w:spacing w:after="0"/>
              <w:rPr>
                <w:sz w:val="17"/>
                <w:szCs w:val="17"/>
                <w:color w:val="auto"/>
              </w:rPr>
            </w:pPr>
          </w:p>
        </w:tc>
        <w:tc>
          <w:tcPr>
            <w:tcW w:w="660" w:type="dxa"/>
            <w:vAlign w:val="bottom"/>
            <w:shd w:val="clear" w:color="auto" w:fill="DBE9CD"/>
          </w:tcPr>
          <w:p>
            <w:pPr>
              <w:spacing w:after="0"/>
              <w:rPr>
                <w:sz w:val="17"/>
                <w:szCs w:val="17"/>
                <w:color w:val="auto"/>
              </w:rPr>
            </w:pPr>
          </w:p>
        </w:tc>
        <w:tc>
          <w:tcPr>
            <w:tcW w:w="1360" w:type="dxa"/>
            <w:vAlign w:val="bottom"/>
            <w:shd w:val="clear" w:color="auto" w:fill="58BD2B"/>
          </w:tcPr>
          <w:p>
            <w:pPr>
              <w:jc w:val="center"/>
              <w:spacing w:after="0"/>
              <w:rPr>
                <w:sz w:val="20"/>
                <w:szCs w:val="20"/>
                <w:color w:val="auto"/>
              </w:rPr>
            </w:pPr>
            <w:r>
              <w:rPr>
                <w:rFonts w:ascii="Arial" w:cs="Arial" w:eastAsia="Arial" w:hAnsi="Arial"/>
                <w:sz w:val="14"/>
                <w:szCs w:val="14"/>
                <w:b w:val="1"/>
                <w:bCs w:val="1"/>
                <w:color w:val="FFFFFF"/>
              </w:rPr>
              <w:t>Enrollment</w:t>
            </w:r>
          </w:p>
        </w:tc>
        <w:tc>
          <w:tcPr>
            <w:tcW w:w="0" w:type="dxa"/>
            <w:vAlign w:val="bottom"/>
          </w:tcPr>
          <w:p>
            <w:pPr>
              <w:spacing w:after="0"/>
              <w:rPr>
                <w:sz w:val="1"/>
                <w:szCs w:val="1"/>
                <w:color w:val="auto"/>
              </w:rPr>
            </w:pPr>
          </w:p>
        </w:tc>
      </w:tr>
      <w:tr>
        <w:trPr>
          <w:trHeight w:val="54"/>
        </w:trPr>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026DCE"/>
              </w:rPr>
              <w:t>Verdiperstat</w:t>
            </w: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20" w:type="dxa"/>
            <w:vAlign w:val="bottom"/>
            <w:shd w:val="clear" w:color="auto" w:fill="026DCE"/>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Amyotrophic Lateral Sclerosis</w:t>
            </w:r>
          </w:p>
        </w:tc>
        <w:tc>
          <w:tcPr>
            <w:tcW w:w="1340" w:type="dxa"/>
            <w:vAlign w:val="bottom"/>
            <w:shd w:val="clear" w:color="auto" w:fill="BFE4FF"/>
          </w:tcPr>
          <w:p>
            <w:pPr>
              <w:spacing w:after="0"/>
              <w:rPr>
                <w:sz w:val="15"/>
                <w:szCs w:val="15"/>
                <w:color w:val="auto"/>
              </w:rPr>
            </w:pPr>
          </w:p>
        </w:tc>
        <w:tc>
          <w:tcPr>
            <w:tcW w:w="1320" w:type="dxa"/>
            <w:vAlign w:val="bottom"/>
            <w:shd w:val="clear" w:color="auto" w:fill="026DCE"/>
          </w:tcPr>
          <w:p>
            <w:pPr>
              <w:jc w:val="center"/>
              <w:spacing w:after="0"/>
              <w:rPr>
                <w:sz w:val="20"/>
                <w:szCs w:val="20"/>
                <w:color w:val="auto"/>
              </w:rPr>
            </w:pPr>
            <w:r>
              <w:rPr>
                <w:rFonts w:ascii="Arial" w:cs="Arial" w:eastAsia="Arial" w:hAnsi="Arial"/>
                <w:sz w:val="14"/>
                <w:szCs w:val="14"/>
                <w:b w:val="1"/>
                <w:bCs w:val="1"/>
                <w:color w:val="FFFFFF"/>
              </w:rPr>
              <w:t>Complete</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gridSpan w:val="2"/>
            <w:shd w:val="clear" w:color="auto" w:fill="026DCE"/>
          </w:tcPr>
          <w:p>
            <w:pPr>
              <w:jc w:val="center"/>
              <w:spacing w:after="0"/>
              <w:rPr>
                <w:sz w:val="20"/>
                <w:szCs w:val="20"/>
                <w:color w:val="auto"/>
              </w:rPr>
            </w:pPr>
            <w:r>
              <w:rPr>
                <w:rFonts w:ascii="Arial" w:cs="Arial" w:eastAsia="Arial" w:hAnsi="Arial"/>
                <w:sz w:val="14"/>
                <w:szCs w:val="14"/>
                <w:b w:val="1"/>
                <w:bCs w:val="1"/>
                <w:color w:val="FFFFFF"/>
              </w:rPr>
              <w:t>Topline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3"/>
                <w:szCs w:val="13"/>
                <w:color w:val="026DCE"/>
              </w:rPr>
              <w:t>NCE oral MPO inhibitor</w:t>
            </w:r>
          </w:p>
        </w:tc>
        <w:tc>
          <w:tcPr>
            <w:tcW w:w="20" w:type="dxa"/>
            <w:vAlign w:val="bottom"/>
            <w:shd w:val="clear" w:color="auto" w:fill="026DCE"/>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("ALS")</w:t>
            </w:r>
          </w:p>
        </w:tc>
        <w:tc>
          <w:tcPr>
            <w:tcW w:w="1340" w:type="dxa"/>
            <w:vAlign w:val="bottom"/>
            <w:shd w:val="clear" w:color="auto" w:fill="BFE4FF"/>
          </w:tcPr>
          <w:p>
            <w:pPr>
              <w:spacing w:after="0"/>
              <w:rPr>
                <w:sz w:val="16"/>
                <w:szCs w:val="16"/>
                <w:color w:val="auto"/>
              </w:rPr>
            </w:pPr>
          </w:p>
        </w:tc>
        <w:tc>
          <w:tcPr>
            <w:tcW w:w="1320" w:type="dxa"/>
            <w:vAlign w:val="bottom"/>
            <w:shd w:val="clear" w:color="auto" w:fill="026DCE"/>
          </w:tcPr>
          <w:p>
            <w:pPr>
              <w:jc w:val="center"/>
              <w:spacing w:after="0"/>
              <w:rPr>
                <w:sz w:val="20"/>
                <w:szCs w:val="20"/>
                <w:color w:val="auto"/>
              </w:rPr>
            </w:pPr>
            <w:r>
              <w:rPr>
                <w:rFonts w:ascii="Arial" w:cs="Arial" w:eastAsia="Arial" w:hAnsi="Arial"/>
                <w:sz w:val="14"/>
                <w:szCs w:val="14"/>
                <w:b w:val="1"/>
                <w:bCs w:val="1"/>
                <w:color w:val="FFFFFF"/>
              </w:rPr>
              <w:t>Enrollment</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026DCE"/>
          </w:tcPr>
          <w:p>
            <w:pPr>
              <w:spacing w:after="0"/>
              <w:rPr>
                <w:sz w:val="16"/>
                <w:szCs w:val="16"/>
                <w:color w:val="auto"/>
              </w:rPr>
            </w:pPr>
          </w:p>
        </w:tc>
        <w:tc>
          <w:tcPr>
            <w:tcW w:w="660" w:type="dxa"/>
            <w:vAlign w:val="bottom"/>
            <w:shd w:val="clear" w:color="auto" w:fill="026DC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34A4E2"/>
              </w:rPr>
              <w:t>Taldefgrobep Alfa</w:t>
            </w:r>
          </w:p>
        </w:tc>
        <w:tc>
          <w:tcPr>
            <w:tcW w:w="20" w:type="dxa"/>
            <w:vAlign w:val="bottom"/>
          </w:tcPr>
          <w:p>
            <w:pPr>
              <w:spacing w:after="0"/>
              <w:rPr>
                <w:sz w:val="4"/>
                <w:szCs w:val="4"/>
                <w:color w:val="auto"/>
              </w:rPr>
            </w:pPr>
          </w:p>
        </w:tc>
        <w:tc>
          <w:tcPr>
            <w:tcW w:w="2120" w:type="dxa"/>
            <w:vAlign w:val="bottom"/>
            <w:vMerge w:val="restart"/>
          </w:tcPr>
          <w:p>
            <w:pPr>
              <w:spacing w:after="0"/>
              <w:rPr>
                <w:sz w:val="20"/>
                <w:szCs w:val="20"/>
                <w:color w:val="auto"/>
              </w:rPr>
            </w:pPr>
            <w:r>
              <w:rPr>
                <w:rFonts w:ascii="Arial" w:cs="Arial" w:eastAsia="Arial" w:hAnsi="Arial"/>
                <w:sz w:val="14"/>
                <w:szCs w:val="14"/>
                <w:color w:val="auto"/>
              </w:rPr>
              <w:t>Spinal Muscular Atrophy</w:t>
            </w: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20" w:type="dxa"/>
            <w:vAlign w:val="bottom"/>
            <w:shd w:val="clear" w:color="auto" w:fill="34A4E2"/>
          </w:tcPr>
          <w:p>
            <w:pPr>
              <w:spacing w:after="0"/>
              <w:rPr>
                <w:sz w:val="15"/>
                <w:szCs w:val="15"/>
                <w:color w:val="auto"/>
              </w:rPr>
            </w:pPr>
          </w:p>
        </w:tc>
        <w:tc>
          <w:tcPr>
            <w:tcW w:w="2120" w:type="dxa"/>
            <w:vAlign w:val="bottom"/>
            <w:vMerge w:val="continue"/>
          </w:tcPr>
          <w:p>
            <w:pPr>
              <w:spacing w:after="0"/>
              <w:rPr>
                <w:sz w:val="15"/>
                <w:szCs w:val="15"/>
                <w:color w:val="auto"/>
              </w:rPr>
            </w:pPr>
          </w:p>
        </w:tc>
        <w:tc>
          <w:tcPr>
            <w:tcW w:w="1340" w:type="dxa"/>
            <w:vAlign w:val="bottom"/>
            <w:shd w:val="clear" w:color="auto" w:fill="DEF2FB"/>
          </w:tcPr>
          <w:p>
            <w:pPr>
              <w:spacing w:after="0"/>
              <w:rPr>
                <w:sz w:val="15"/>
                <w:szCs w:val="15"/>
                <w:color w:val="auto"/>
              </w:rPr>
            </w:pPr>
          </w:p>
        </w:tc>
        <w:tc>
          <w:tcPr>
            <w:tcW w:w="1320" w:type="dxa"/>
            <w:vAlign w:val="bottom"/>
            <w:shd w:val="clear" w:color="auto" w:fill="DEF2FB"/>
          </w:tcPr>
          <w:p>
            <w:pPr>
              <w:spacing w:after="0"/>
              <w:rPr>
                <w:sz w:val="15"/>
                <w:szCs w:val="15"/>
                <w:color w:val="auto"/>
              </w:rPr>
            </w:pPr>
          </w:p>
        </w:tc>
        <w:tc>
          <w:tcPr>
            <w:tcW w:w="680" w:type="dxa"/>
            <w:vAlign w:val="bottom"/>
            <w:shd w:val="clear" w:color="auto" w:fill="DEF2FB"/>
          </w:tcPr>
          <w:p>
            <w:pPr>
              <w:spacing w:after="0"/>
              <w:rPr>
                <w:sz w:val="15"/>
                <w:szCs w:val="15"/>
                <w:color w:val="auto"/>
              </w:rPr>
            </w:pPr>
          </w:p>
        </w:tc>
        <w:tc>
          <w:tcPr>
            <w:tcW w:w="1360" w:type="dxa"/>
            <w:vAlign w:val="bottom"/>
            <w:gridSpan w:val="2"/>
            <w:shd w:val="clear" w:color="auto" w:fill="34A4E2"/>
          </w:tcPr>
          <w:p>
            <w:pPr>
              <w:ind w:left="220"/>
              <w:spacing w:after="0"/>
              <w:rPr>
                <w:sz w:val="20"/>
                <w:szCs w:val="20"/>
                <w:color w:val="auto"/>
              </w:rPr>
            </w:pPr>
            <w:r>
              <w:rPr>
                <w:rFonts w:ascii="Arial" w:cs="Arial" w:eastAsia="Arial" w:hAnsi="Arial"/>
                <w:sz w:val="14"/>
                <w:szCs w:val="14"/>
                <w:b w:val="1"/>
                <w:bCs w:val="1"/>
                <w:color w:val="FFFFFF"/>
              </w:rPr>
              <w:t>Start Phase 3</w:t>
            </w: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3"/>
                <w:szCs w:val="13"/>
                <w:color w:val="34A4E2"/>
              </w:rPr>
              <w:t>Anti-myostatin adnectin</w:t>
            </w:r>
          </w:p>
        </w:tc>
        <w:tc>
          <w:tcPr>
            <w:tcW w:w="20" w:type="dxa"/>
            <w:vAlign w:val="bottom"/>
            <w:shd w:val="clear" w:color="auto" w:fill="34A4E2"/>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("SMA")</w:t>
            </w:r>
          </w:p>
        </w:tc>
        <w:tc>
          <w:tcPr>
            <w:tcW w:w="1340" w:type="dxa"/>
            <w:vAlign w:val="bottom"/>
            <w:shd w:val="clear" w:color="auto" w:fill="DEF2FB"/>
          </w:tcPr>
          <w:p>
            <w:pPr>
              <w:spacing w:after="0"/>
              <w:rPr>
                <w:sz w:val="16"/>
                <w:szCs w:val="16"/>
                <w:color w:val="auto"/>
              </w:rPr>
            </w:pPr>
          </w:p>
        </w:tc>
        <w:tc>
          <w:tcPr>
            <w:tcW w:w="1320" w:type="dxa"/>
            <w:vAlign w:val="bottom"/>
            <w:shd w:val="clear" w:color="auto" w:fill="DEF2FB"/>
          </w:tcPr>
          <w:p>
            <w:pPr>
              <w:spacing w:after="0"/>
              <w:rPr>
                <w:sz w:val="16"/>
                <w:szCs w:val="16"/>
                <w:color w:val="auto"/>
              </w:rPr>
            </w:pPr>
          </w:p>
        </w:tc>
        <w:tc>
          <w:tcPr>
            <w:tcW w:w="680" w:type="dxa"/>
            <w:vAlign w:val="bottom"/>
            <w:shd w:val="clear" w:color="auto" w:fill="DEF2FB"/>
          </w:tcPr>
          <w:p>
            <w:pPr>
              <w:spacing w:after="0"/>
              <w:rPr>
                <w:sz w:val="16"/>
                <w:szCs w:val="16"/>
                <w:color w:val="auto"/>
              </w:rPr>
            </w:pPr>
          </w:p>
        </w:tc>
        <w:tc>
          <w:tcPr>
            <w:tcW w:w="680" w:type="dxa"/>
            <w:vAlign w:val="bottom"/>
            <w:shd w:val="clear" w:color="auto" w:fill="34A4E2"/>
          </w:tcPr>
          <w:p>
            <w:pPr>
              <w:spacing w:after="0"/>
              <w:rPr>
                <w:sz w:val="16"/>
                <w:szCs w:val="16"/>
                <w:color w:val="auto"/>
              </w:rPr>
            </w:pPr>
          </w:p>
        </w:tc>
        <w:tc>
          <w:tcPr>
            <w:tcW w:w="680" w:type="dxa"/>
            <w:vAlign w:val="bottom"/>
            <w:shd w:val="clear" w:color="auto" w:fill="34A4E2"/>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FAAC16"/>
              </w:rPr>
              <w:t>BHV-1100</w:t>
            </w: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380" w:type="dxa"/>
            <w:vAlign w:val="bottom"/>
            <w:vMerge w:val="continue"/>
          </w:tcPr>
          <w:p>
            <w:pPr>
              <w:spacing w:after="0"/>
              <w:rPr>
                <w:sz w:val="19"/>
                <w:szCs w:val="19"/>
                <w:color w:val="auto"/>
              </w:rPr>
            </w:pPr>
          </w:p>
        </w:tc>
        <w:tc>
          <w:tcPr>
            <w:tcW w:w="20" w:type="dxa"/>
            <w:vAlign w:val="bottom"/>
            <w:shd w:val="clear" w:color="auto" w:fill="FAAC16"/>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Multiple Myeloma</w:t>
            </w:r>
          </w:p>
        </w:tc>
        <w:tc>
          <w:tcPr>
            <w:tcW w:w="1340" w:type="dxa"/>
            <w:vAlign w:val="bottom"/>
            <w:shd w:val="clear" w:color="auto" w:fill="FEEAC5"/>
          </w:tcPr>
          <w:p>
            <w:pPr>
              <w:spacing w:after="0"/>
              <w:rPr>
                <w:sz w:val="19"/>
                <w:szCs w:val="19"/>
                <w:color w:val="auto"/>
              </w:rPr>
            </w:pPr>
          </w:p>
        </w:tc>
        <w:tc>
          <w:tcPr>
            <w:tcW w:w="1320" w:type="dxa"/>
            <w:vAlign w:val="bottom"/>
            <w:shd w:val="clear" w:color="auto" w:fill="FBC150"/>
          </w:tcPr>
          <w:p>
            <w:pPr>
              <w:jc w:val="center"/>
              <w:spacing w:after="0"/>
              <w:rPr>
                <w:sz w:val="20"/>
                <w:szCs w:val="20"/>
                <w:color w:val="auto"/>
              </w:rPr>
            </w:pPr>
            <w:r>
              <w:rPr>
                <w:rFonts w:ascii="Arial" w:cs="Arial" w:eastAsia="Arial" w:hAnsi="Arial"/>
                <w:sz w:val="14"/>
                <w:szCs w:val="14"/>
                <w:b w:val="1"/>
                <w:bCs w:val="1"/>
                <w:color w:val="FFFFFF"/>
              </w:rPr>
              <w:t>Start Phase 1</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0"/>
              <w:spacing w:after="0" w:line="149" w:lineRule="exact"/>
              <w:rPr>
                <w:sz w:val="20"/>
                <w:szCs w:val="20"/>
                <w:color w:val="auto"/>
              </w:rPr>
            </w:pPr>
            <w:r>
              <w:rPr>
                <w:rFonts w:ascii="Arial" w:cs="Arial" w:eastAsia="Arial" w:hAnsi="Arial"/>
                <w:sz w:val="14"/>
                <w:szCs w:val="14"/>
                <w:color w:val="FAAC16"/>
              </w:rPr>
              <w:t>ARM combo</w:t>
            </w:r>
          </w:p>
        </w:tc>
        <w:tc>
          <w:tcPr>
            <w:tcW w:w="20" w:type="dxa"/>
            <w:vAlign w:val="bottom"/>
            <w:shd w:val="clear" w:color="auto" w:fill="FAAC16"/>
          </w:tcPr>
          <w:p>
            <w:pPr>
              <w:spacing w:after="0"/>
              <w:rPr>
                <w:sz w:val="12"/>
                <w:szCs w:val="12"/>
                <w:color w:val="auto"/>
              </w:rPr>
            </w:pPr>
          </w:p>
        </w:tc>
        <w:tc>
          <w:tcPr>
            <w:tcW w:w="2120" w:type="dxa"/>
            <w:vAlign w:val="bottom"/>
          </w:tcPr>
          <w:p>
            <w:pPr>
              <w:spacing w:after="0"/>
              <w:rPr>
                <w:sz w:val="12"/>
                <w:szCs w:val="12"/>
                <w:color w:val="auto"/>
              </w:rPr>
            </w:pPr>
          </w:p>
        </w:tc>
        <w:tc>
          <w:tcPr>
            <w:tcW w:w="1340" w:type="dxa"/>
            <w:vAlign w:val="bottom"/>
            <w:shd w:val="clear" w:color="auto" w:fill="FEEAC5"/>
          </w:tcPr>
          <w:p>
            <w:pPr>
              <w:spacing w:after="0"/>
              <w:rPr>
                <w:sz w:val="12"/>
                <w:szCs w:val="12"/>
                <w:color w:val="auto"/>
              </w:rPr>
            </w:pPr>
          </w:p>
        </w:tc>
        <w:tc>
          <w:tcPr>
            <w:tcW w:w="1320" w:type="dxa"/>
            <w:vAlign w:val="bottom"/>
            <w:shd w:val="clear" w:color="auto" w:fill="FBC150"/>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380" w:type="dxa"/>
            <w:vAlign w:val="bottom"/>
          </w:tcPr>
          <w:p>
            <w:pPr>
              <w:ind w:left="600"/>
              <w:spacing w:after="0"/>
              <w:rPr>
                <w:sz w:val="20"/>
                <w:szCs w:val="20"/>
                <w:color w:val="auto"/>
              </w:rPr>
            </w:pPr>
            <w:r>
              <w:rPr>
                <w:rFonts w:ascii="Arial" w:cs="Arial" w:eastAsia="Arial" w:hAnsi="Arial"/>
                <w:sz w:val="13"/>
                <w:szCs w:val="13"/>
                <w:b w:val="1"/>
                <w:bCs w:val="1"/>
                <w:color w:val="auto"/>
              </w:rPr>
              <w:t>Milestone Achieved</w:t>
            </w: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-135255</wp:posOffset>
            </wp:positionV>
            <wp:extent cx="1542415" cy="170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1542415" cy="17081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-941070</wp:posOffset>
            </wp:positionV>
            <wp:extent cx="2176780" cy="814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2176780" cy="814070"/>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-1747520</wp:posOffset>
            </wp:positionV>
            <wp:extent cx="1757045" cy="548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1757045" cy="54800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Kv7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BHV-7000</w:t>
      </w:r>
    </w:p>
    <w:p>
      <w:pPr>
        <w:spacing w:after="0" w:line="17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In April 2022, we closed the acquisition from Knopp Biosciences LLC (“Knopp”) of Channel Biosciences, LLC (“Channel”), a wholly owned subsidiary of Knopp owning the assets of Knopp’s Kv7 channel targeting platform (the “Transaction”), pursuant to a Membership Interest Purchase Agreement (the “Purchase Agreement”), dated February 24, 2022. The acquisition of the Kv7 channel targeting platform adds the latest advances in ion-channel modulation to our growing neuroscience portfolio. BHV-7000 (formerly known as KB-3061) is the lead asset from the Kv7 platform and is a potassium channel activator with a preclinical profile suggestive of a wide therapeutic index, high selectivity, and significantly reduced GABA-ergic activity. In the second quarter of 2022, our Clinical Trial Application for BHV-7000 was approved by Health Canada, and we subsequently began clinical development. The Company is evaluating and has not yet finalized potential clinical trial designs, including trial size and primary and secondary endpoints.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consideration for the transaction, on April 4, 2022, the Company made an upfront payment comprised of $35 million in cash and 493,254 common shares of RemainCo, valued at approximately $58.8 million, issued through a private placement. The Company has also agreed to pay additional success-based payments comprised of (i) up to $325 million based on developmental and regulatory milestones through approvals in the United States, EMEA and Japan for the lead asset, BHV-7000 (formerly known as KB-3061), (ii) up to an additional $250 million based on developmental and regulatory milestones for the Kv7 pipeline development in other indications and additional country approvals, and (iii) up to $562 million for commercial sales-based milestones of BHV-7000. Additionally, the Company has agreed to make scaled royalty payments in cash for BHV-7000 and the pipeline programs, starting at high single digits and peaking at low teens for BHV-7000 and starting at mid-single digits and peaking at low tens for the pipeline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Glutamate Platform</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most advanced product candidate from our glutamate receptor antagonist platform is troriluzole (previously referred to as trigriluzole and BHV-4157), which is in multiple Phase 3 trials. Other product candidates include BHV-5500, which is an antagonist of the glutamate N-methyl-D-aspartate (“NMDA”) receptor.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Troriluzole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Spinocerebellar Ataxia</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2022, the Company announced top-line results from the Phase 3 clinical trial evaluating the efficacy and safety of its investigational therapy, troriluzole, in patients with SCA. The primary endpoint, change from baseline to Week 48 on the modified functional Scale for the Assessment and Rating of Ataxia (f-SARA), did not reach statistical significance in the overall SCA population as there was less than expected disease progression over the course of the study. In the overall study population (N=213), the troriluzole and placebo groups each had mean baseline scores of 4.9 on the f-SARA and the two groups showed minimal change at the 48-week endpoint with f-SARA scores of 5.1 and 5.2, respectively (p=0.76).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201" w:right="339" w:bottom="1440" w:gutter="0" w:footer="0" w:header="0"/>
        </w:sectPr>
      </w:pPr>
    </w:p>
    <w:bookmarkStart w:id="143" w:name="page144"/>
    <w:bookmarkEnd w:id="143"/>
    <w:p>
      <w:pPr>
        <w:spacing w:after="0" w:line="254" w:lineRule="auto"/>
        <w:rPr>
          <w:sz w:val="20"/>
          <w:szCs w:val="20"/>
          <w:color w:val="auto"/>
        </w:rPr>
      </w:pPr>
      <w:r>
        <w:rPr>
          <w:rFonts w:ascii="Times New Roman" w:cs="Times New Roman" w:eastAsia="Times New Roman" w:hAnsi="Times New Roman"/>
          <w:sz w:val="18"/>
          <w:szCs w:val="18"/>
          <w:color w:val="auto"/>
        </w:rPr>
        <w:t>Post hoc analysis of efficacy measures by genotype suggests a treatment effect in patients with the SCA Type 3 (“SCA3”) genotype, which represents the most common form of SCA and accounted for 41% of the study population. In the SCA3 subgroup, troriluzole showed a numerical treatment benefit on the change in f-SARA score from baseline to Week 48 compared to placebo (least squares (“LS”) mean change difference -0.55, nominal p-value = 0.053, 95% CI: -1.12, 0.01). SCA patients treated with troriluzole showed minimal disease progression over the study period. Further, in patients in the SCA3 subgroup who were able to walk without assistance at baseline (i.e., f-SARA Gait Item score = 1), troriluzole demonstrated a greater numerical treatment benefit on the change in f-SARA score from baseline to Week 48 compared to placebo (LS mean change difference -0.71, nominal p-value = 0.031, 95% CI: -1.36, -0.07). Notably, the f-SARA is a novel, 16-point scale developed in collaboration with FDA as the primary outcome measure for this trial; the scale was designed to limit subjectivity of the scale and focus on functional aspects of the disease so that significant changes would be considered clinically meaningful.</w:t>
      </w:r>
    </w:p>
    <w:p>
      <w:pPr>
        <w:spacing w:after="0" w:line="13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Across all genotypes, patients who were able to ambulate at baseline (i.e., f-SARA Gait Item score = 1) showed a reduction in the relative risk of falls in troriluzole-treated patients versus placebo. Patient reported falls, as measured by adverse events reveal an approximately 58% reduction of fall risk in the troriluzole group (10% versus 23% AE incidence of falls in the troriluzole and placebo groups, respectively; nominal p=0.043).</w:t>
      </w:r>
    </w:p>
    <w:p>
      <w:pPr>
        <w:spacing w:after="0" w:line="12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reduction of falls in the troriluzole group combined with the progression of f-SARA scores in the untreated SCA3 group compared to SCA3 patients on troriluzole demonstrates that SCA3 patients are experiencing a clinically meaningful improvement in ataxia symptoms on troriluzole treatment. Given these findings and the debilitating nature of SCA, we intend to share the SCA3 genotype data with regulators and work with the FDA to address the high unmet need in this patient population.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Obsessive Compulsive Disorder</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commenced a Phase 2/3 double-blind, randomized, controlled trial to assess the efficacy of troriluzole in adults with OCD in December 2017. The Phase 2/3 study results were announced in June 2020. Troriluzole 200 mg administered once daily as adjunctive therapy in OCD patients with inadequate response to standard of care treatment showed consistent numerical improvement over placebo on the Yale-Brown Obsessive Compulsive Scale (Y-BOCS) at all study timepoints (weeks 4 to 12) but did not meet the primary outcome measure at week 12. Troriluzole treated subjects (n = 111) had a mean Y-BOCS improvement of -3.4 points from baseline versus -2.9 for placebo-treated (n = 115) subjects [difference -0.5 and p-value = 0.451] at week 4, -5.1 points (n = 96) versus -3.6 for placebo-treated (n = 108) subjects [difference -1.5 and p-value = 0.041] at week 8, and -5.9 points (n = 99) versus -4.9 for placebo-treated (n = 102) subjects [difference -1.0 and p-value = 0.220] at week 12. Troriluzole’s safety profile was generally consistent with past clinical trial experience with its active metabolite, riluzole. Treatment emergent adverse events (“TEAE”s) were mostly reported to be mild in intensity. TEAEs that occurred in at least 5% of patients in the troriluzole group, and more frequently in the troriluzole group than in the placebo group, were headache, dizziness, fatigue, somnolence, nausea and nasopharyngitis.</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Given the strong signal in the Phase 2/3 proof of concept study and after receiving feedback from the FDA in an End of Phase 2 meeting, in December 2020 we initiated enrollment in a Phase 3 program. The Phase 3 program will have an estimated total enrollment of 1,300 participants with a primary endpoint of change from baseline on the Y-BOCS total score at week 4, 8 and 10. The two Phase 3 randomized, double-blind, placebo-controlled trials that make-up our Phase 3 program for OCD are currently ongoing with enrollment expected to be completed in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Glioblastoma</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December 2021, the Global Coalition for Adaptive Research ("GCAR") selected troriluzole for evaluation in Glioblastoma Adaptive Global Innovative Learning Environment - NCT03970447 ("GBM AGILE"). GBM AGILE is a revolutionary patient-centered, adaptive platform trial for registration that tests multiple therapies for patients with newly-diagnosed and recurrent glioblastoma ("GBM"), the most fatal form of brain cancer. Troriluzole will be evaluated in all patient subgroups of the trial which include newly-diagnosed methylated MGMT, newly-diagnosed unmethylated MGMT, and recurrent GBM. Troriluzole was selected for inclusion in GBM AGILE based on compelling evidence showing deregulation of glutamate in GBM. The therapeutic potential of troriluzole in GBM and other oncology indications is supported by several recent clinical and translational research studies conducted with troriluzole and its active moiety. In July 2022, the Company and GCAR announced that enrollment has commenced in GBM AGILE for the evaluation of troriluzole.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120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BHV-5500</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developing BHV-5500 (lanicemine), a low-trapping NMDA receptor antagonist. One potential target indication includes Complex Regional Pain Syndrome (“CRPS”). CRPS is a rare, chronic pain condition typically affecting limbs and triggered by traumatic injury. Accompanying symptoms also include chronic inflammation and reduced mobility in the affected areas. Other disorders of interest include post-herpetic neuralgia and diabetic peripheral neuralgia. RemainCo acquired worldwide rights to BHV-5500 under an exclusive license agreement with AstraZeneca AB in October 2016. Current work is focused on formulation development.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MPO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Verdiperstat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developing verdiperstat (previously BHV-3241), an oral myeloperoxidase inhibitor for the treatment of neurodegenerative diseases. One potential target indication is ALS. In September 2019, we announced that verdiperstat was selected to be studied in the Phase 3 HEALEY ALS Platform Trial, which is being conducted by the Sean M. Healey &amp; AMG Center for ALS at Massachusetts General Hospital in collaboration with the Northeast ALS Consortium (“NEALS”) clinical trial network. Promising investigational drugs were chosen for the HEALEY ALS Platform Trial through a competitive process, with the Healey Center providing partial financial support to successful applicants. The Phase 3 HEALEY ALS Platform Trial of verdiperstat began enrollment in July 2020. Enrollment in the trial was completed in November 2021, with results expected in the second half of 2022.</w:t>
      </w:r>
    </w:p>
    <w:p>
      <w:pPr>
        <w:spacing w:after="0" w:line="13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Verdiperstat was progressed through Phase 2 clinical trials by AstraZeneca. Seven clinical studies have been completed by AstraZeneca, including four Phase 1 studies in healthy subjects, two Phase 2a studies in subjects with Parkinson’s disease, and one Phase 2b study in subjects with MSA. We have entered into an exclusive license agreement with AstraZeneca for the product candidate.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Myostatin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Taldefgrobep Alfa</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February 2022, we announced that we entered into a worldwide license agreement with BMS for the development and commercialization rights to taldefgrobep alfa (also known as BMS-986089), a novel, Phase 3-ready anti-myostatin adnectin. Myostatin is a natural protein that limits skeletal muscle growth, an important process in healthy muscular development. However, in patients with neuromuscular diseases, active myostatin can critically limit the growth needed to achieve developmental and functional milestones. Myostatin inhibition is a promising therapeutic strategy for enhancing muscle mass and strength in a range of pediatric and adult neuromuscular conditions. Taldefgrobep is a muscle-targeted treatment for neuromuscular disease and offers the opportunity for combination therapy.</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2022, we commenced enrollment in a Phase 3 clinical trial assessing the efficacy and safety of taldefgrobep alfa in Spinal Muscle Atrophy ("SMA"). SMA is a rare, progressively debilitating motor neuron disease in which development and growth of muscle mass are compromised, resulting in progressive weakness and muscle atrophy, reduced motor function, impaired quality of life and often death. The Phase 3 placebo-controlled, double-blind trial is designed to evaluate the efficacy and safety of taldefgrobep as an adjunctive therapy for participants who are already taking a stable dose of nusinersen or risdiplam or have a history of treatment with onasemnogene abeparvovec-xioi, compared to placebo. The study is not restricted nor limited to patients based on ambulatory status or classification of SMA. We expect to enroll approximately 180 patients in this randomized, double-blind, placebo-controlled global trial.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Biohaven Labs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January 2021, we acquired the remaining approximately 58% of Kleo Pharmaceuticals, Inc. ("Kleo") that we did not previously own. We have assumed Kleo's laboratory facilities located in Science Park in New Haven, Connecticut and formed Biohaven Labs to serve as the integrated chemistry and discovery research arm of the Company. Biohaven Labs will continue several existing Kleo discovery partnerships, including one with the Bill and Melinda Gates Foundation for the development of a Hyperimmune Globulin Mimic for COVID-19 and one with PeptiDream for the development of immuno-oncology therapeutics.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proprietary Multimodal Antibody Therapy Enhancer ("MATE") conjugation technology uses a new class of synthetic peptide binders to target the spike protein of SARS-CoV-2 that are then selectively conjugated to commercially available intravenous immunoglobulin. Our synthetic binders for SARS-CoV2 were designed to establish a much wider area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197" w:right="339" w:bottom="1440" w:gutter="0" w:footer="0" w:header="0"/>
        </w:sectPr>
      </w:pPr>
    </w:p>
    <w:bookmarkStart w:id="145" w:name="page146"/>
    <w:bookmarkEnd w:id="145"/>
    <w:p>
      <w:pPr>
        <w:ind w:right="20"/>
        <w:spacing w:after="0" w:line="254" w:lineRule="auto"/>
        <w:rPr>
          <w:sz w:val="20"/>
          <w:szCs w:val="20"/>
          <w:color w:val="auto"/>
        </w:rPr>
      </w:pPr>
      <w:r>
        <w:rPr>
          <w:rFonts w:ascii="Times New Roman" w:cs="Times New Roman" w:eastAsia="Times New Roman" w:hAnsi="Times New Roman"/>
          <w:sz w:val="18"/>
          <w:szCs w:val="18"/>
          <w:color w:val="auto"/>
        </w:rPr>
        <w:t>and number of contacts with the spike protein that other agents like monoclonal antibodies. In February 2021, RemainCo announced that BHV-1200, developed with our proprietary MATE platform, has demonstrated functional binding and neutralization of the SARS-CoV-2 virus, including the strains known as the "English" and "South African" variants (also known as B.1.1.7 and B.1.351, respectively). The preliminary experiments conducted by Biohaven Labs and an academic collaborator demonstrated that BHV-1200 substantially reduced viral entry into cells. Accelerated development of the COVID-19 MATE program has been supported by the Bill and Melinda Gates Foundation. In addition, the in vitro data indicated that BHV-1200 may activate important immune system components including antibody-dependent cellular phagocytosis and antibody dependent cellular cytotoxicity. We believe our proprietary MATE-conjugation technology could also be used against other infectious diseases by changing the targeting moiety of its antibody binders.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Fox Chase Chemical Diversity Center, Inc.</w:t>
      </w:r>
    </w:p>
    <w:p>
      <w:pPr>
        <w:spacing w:after="0" w:line="1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May 2019, we entered into an agreement with Fox Chase Chemical Diversity Center Inc. (“FCCDC”) for FCCDC’s TDP-43 assets (the “FCCDC Agreement”). The FCCDC Agreement provides us with a plan and goal to identify one or more new chemical entity candidates for preclinical development for eventual clinical evaluation for the treatment of one or more TDP-43 proteinopathies. In connection with the FCCDC Agreement, RemainCo and FCCDC have established a TDP-43 Research Plan that provides for certain milestones to be achieved by FCCDC, and milestone payments to be made by the Company. The Company is evaluating and has not yet finalized potential clinical trial designs, including size and primary and secondary endpoints.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Connecticut License Option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2018, we entered into an exclusive, worldwide option and license agreement with the University of Connecticut for the development and commercialization rights to UC1MT, a therapeutic antibody targeting extracellular metallothionein. Under this agreement, we have the option to acquire an exclusive, worldwide license to UC1MT and its underlying patents to develop and commercialize throughout the world in all human indications. If we choose to exercise the option, we would be obligated to pay UConn milestone payments upon the achievement of specified regulatory and commercial milestones, and royalties of a low single-digit percentage of net sales of licensed products. The Company is evaluating and has not yet finalized potential clinical trial designs, including size and primary and secondary endpoints.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Artizan Biosciences Inc License Option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an Option and License Agreement with Artizan Biosciences Inc ("Artizan"), a biotechnology company focused on addressing inflammatory diseases involving the human intestinal microbiota. Pursuant to the agreement, we acquired an option to obtain a royalty-based license from Artizan to manufacture, use and commercialize certain products. Artizan will use the proceeds to continue advancing the preclinical research and development of its lead program for inflammatory bowel disease, which is anticipated to enter the clinic in early 2023, as well as to explore additional disease targets. In November 2021, we announced a collaborative therapeutic discovery and development program in Parkinson’s disease ("PD"), to exploit recent scientific advances in the understanding of pathogenic roles played by the gut microbiome in PD. In June 2022, we and Artizan executed a non-binding indication of interest which describes terms under which we and Artizan would amend the 2020 Artizan Agreement to eliminate certain milestone payments required by us in exchange for limiting our option to the selection of the first (ARZC-001) licensed product. The Company is evaluating and has not yet finalized potential clinical trial designs, including size and primary and secondary endpoints.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Reliant Glycosciences, LLC</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July 2021, we entered into a development and license agreement with Reliant Glycosciences, LLC ("Reliant") for collaboration on a program with Biohaven Labs’ multifunctional molecules to develop and commercialize conjugated antibodies for therapeutic uses relating to IgA nephropathy and treatment of other diseases and conditions. The Company is evaluating and has not yet finalized potential clinical trial designs, including size and primary and secondary endpoints. Under the Agreement, Reliant was entitled to an upfront share payment and will be eligible to receive development milestone payments and royalties of net sales of licensed products.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BHV-1100</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2021, we initiated a Phase 1a/1b trial in multiple myeloma patients using its antibody recruiting molecule ("ARM") BHV-1100 in combination with autologous cytokine induced memory-like ("CIML") natural killer (NK) cells and immune globulin ("IG") to target and kill multiple myeloma cells expressing the cell surface protein CD38. BHV-1100 is the lead clinical asset from our ARM™ Platform developed from a strategic alliance with PeptiDream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00"/>
          </w:cols>
          <w:pgMar w:left="320" w:top="1201" w:right="379" w:bottom="1440" w:gutter="0" w:footer="0" w:header="0"/>
        </w:sectPr>
      </w:pPr>
    </w:p>
    <w:bookmarkStart w:id="146" w:name="page147"/>
    <w:bookmarkEnd w:id="146"/>
    <w:p>
      <w:pPr>
        <w:ind w:right="200"/>
        <w:spacing w:after="0" w:line="258" w:lineRule="auto"/>
        <w:rPr>
          <w:sz w:val="20"/>
          <w:szCs w:val="20"/>
          <w:color w:val="auto"/>
        </w:rPr>
      </w:pPr>
      <w:r>
        <w:rPr>
          <w:rFonts w:ascii="Times New Roman" w:cs="Times New Roman" w:eastAsia="Times New Roman" w:hAnsi="Times New Roman"/>
          <w:sz w:val="18"/>
          <w:szCs w:val="18"/>
          <w:color w:val="auto"/>
        </w:rPr>
        <w:t>(TYO: 4587). This open-label single center Phase 1a/1b study will assess the safety and tolerability as well as exploratory efficacy endpoints in newly diagnosed multiple myeloma patients who have tested positive for minimal residual disease ("MRD+") in first remission prior to autologous stem cell transplant ("ASCT"). We expect to enroll 25 newly diagnosed multiple myeloma patients. The primary outcome measures are dose limiting toxicities following combination product administration (time frame: 100 days post-combination product administration) and incidence and severity of side effects related to the combination product (time frame: 100 days post-combination product administration).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TRPM3 Antagonists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January 2022, we entered into an Exclusive License and Research Collaboration Agreement with Katholieke Universiteit Leuven ("KU Leuven") to develop and commercialize TRPM3 antagonists to address the growing proportion of people worldwide living with chronic pain disorders (the "KU Leuven Agreement"). The TRPM3 antagonist platform was discovered at the Centre for Drug Design and Discovery ("CD3") and the Laboratory of Ion Channel Research ("LICR") at KU Leuven. Under the KU Leuven Agreement,we receive exclusive global rights to develop, manufacture and commercialize KU Leuven's portfolio of small-molecule TRPM3 antagonists. The portfolio includes the lead candidate, henceforth known as BHV-2100, which is being evaluated in preclinical pain models and will be the first to advance towards Phase 1 studies. We will support further basic and translational research at KU Leuven on the role of TRPM3 in pain and other disorders. The Company is evaluating and has not yet finalized potential clinical trial designs, including size and primary and secondary endpoints.</w:t>
      </w:r>
    </w:p>
    <w:p>
      <w:pPr>
        <w:spacing w:after="0" w:line="134" w:lineRule="exact"/>
        <w:rPr>
          <w:sz w:val="20"/>
          <w:szCs w:val="20"/>
          <w:color w:val="auto"/>
        </w:rPr>
      </w:pPr>
    </w:p>
    <w:p>
      <w:pPr>
        <w:ind w:right="53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Components of The Results of Operations of the Biohaven Research Business </w:t>
      </w:r>
      <w:r>
        <w:rPr>
          <w:rFonts w:ascii="Times New Roman" w:cs="Times New Roman" w:eastAsia="Times New Roman" w:hAnsi="Times New Roman"/>
          <w:sz w:val="18"/>
          <w:szCs w:val="18"/>
          <w:b w:val="1"/>
          <w:bCs w:val="1"/>
          <w:i w:val="1"/>
          <w:iCs w:val="1"/>
          <w:color w:val="auto"/>
        </w:rPr>
        <w:t>Revenue</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date, the Biohaven Research Business has not generated any revenue from product sales and we do not expect to generate any revenue from the sale of products in the near future. If our development efforts for our product candidates are successful and result in regulatory approval or additional license agreements with third parties, then Biohaven Research Business may generate revenue in the future from product sales.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The Biohaven Research Business expenses research and development costs as incurred. These expenses include:</w:t>
      </w:r>
    </w:p>
    <w:p>
      <w:pPr>
        <w:spacing w:after="0" w:line="108" w:lineRule="exact"/>
        <w:rPr>
          <w:sz w:val="20"/>
          <w:szCs w:val="20"/>
          <w:color w:val="auto"/>
        </w:rPr>
      </w:pPr>
    </w:p>
    <w:p>
      <w:pPr>
        <w:ind w:left="660" w:right="2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or contract manufacturing organizations (“CMOs”), as well as investigative sites and consultants that conduct our clinical trials, preclinical studies and other scientific development services;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clinical trial materials and commercial materials, including manufacturing validation batches;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non-cash share-based compensation expense for employees engaged in research and development functions;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milestone payments incurred prior to regulatory approval of the product candidate;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equity securities or other forms of consideration under third-party licensing agreements prior to regulatory approval of the product candidate.</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Biohaven Research Business recognizes external development costs based on an evaluation of the progress to completion of specific tasks using estimates of our clinical personnel or information provided to us by our service providers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External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and certain development milestones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1201" w:right="359" w:bottom="1440" w:gutter="0" w:footer="0" w:header="0"/>
        </w:sectPr>
      </w:pPr>
    </w:p>
    <w:bookmarkStart w:id="147" w:name="page148"/>
    <w:bookmarkEnd w:id="147"/>
    <w:p>
      <w:pPr>
        <w:ind w:right="60"/>
        <w:spacing w:after="0" w:line="261" w:lineRule="auto"/>
        <w:rPr>
          <w:sz w:val="20"/>
          <w:szCs w:val="20"/>
          <w:color w:val="auto"/>
        </w:rPr>
      </w:pPr>
      <w:r>
        <w:rPr>
          <w:rFonts w:ascii="Times New Roman" w:cs="Times New Roman" w:eastAsia="Times New Roman" w:hAnsi="Times New Roman"/>
          <w:sz w:val="18"/>
          <w:szCs w:val="18"/>
          <w:color w:val="auto"/>
        </w:rPr>
        <w:t>incurred under license agreements. We do not allocate employee costs, or other indirect costs, to specific programs because these costs are deployed across multiple programs and, as such, are not separately classified. We use internal resources primarily to oversee the research and development as well as for managing our preclinical development, process development, manufacturing and clinical development activities. Many employees work across multiple programs, and the Biohaven Research Business does not track personnel costs by program.</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remain significant over the next several years as we increase personnel costs, conduct late-stage clinical trials, and prepare regulatory filings for our product candidates. We also expect to incur additional expenses related to milestone and royalty payments payable to third parties with whom we have entered into license agreements to acquire the rights to our product candidates.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26"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an appropriate safety profile with IND-enabling studies;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commercial manufacturing capabilities or making arrangements with third-party manufacturers;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maintenance, defense and enforcement of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commercial sales of our product candidates, if and when approved, whether alone or in collaboration with others;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the product candidates following approval.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and travel expenses for our executive, finance, business, corporate development and other administrative functions; and non-cash share-based compensation expense. General and administrative expenses also include facilities and other related expenses, including rent, depreciation, maintenance of facilities, insurance and supplies; and for public relations, audit, tax and legal services, including legal expenses to pursue patent protection of our intellectual property.</w:t>
      </w:r>
    </w:p>
    <w:p>
      <w:pPr>
        <w:spacing w:after="0" w:line="12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including payroll and related expenses, will remain significant in the future as we continue to support our research and development activities and prepare for potential commercialization of our product candidates, if successfully developed and approved. We also anticipate increased expenses associated with general operations, including costs related to accounting and legal services, director and officer insurance premiums, facilities and other corporate infrastructure, office-related costs, such as information technology costs, and certain costs to establish ourself as a standalone public company, as well as ongoing additional costs associated with operating as an independent, publicly traded company.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201"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Equity Method Investment</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Company’s acquisition of Kleo in January 2021, the Company owned approximately 41.9% of the outstanding shares as of December 31, 2020, and accounted for the Company’s investment in Kleo under the equity method of accounting. As a result, the Company’s proportionate share of Kleo’s net income or loss each reporting period was included in other income (expense), net, in the combined statements of operations and comprehensive loss and results in a corresponding adjustment to the carrying value of the equity method investment on the combined balance sheet.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4, 2021, the Company acquired the remaining shares of Kleo it did not previously own.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income, net primarily consists of a gain recognized upon the Company’s determination that the value of the contingent value right related to our Kleo acquisition was immaterial as of December 31, 2021. The consideration transferred for the Kleo acquisition included contingent consideration in the form of a contingent value right to receive one dollar in cash for each Kleo share if certain specified Kleo biopharmaceutical products or product candidates receive the approval of the FDA prior to the expiration of 30 months following the effective time of the transaction. The maximum amount payable pursuant to the contingent value right was approximately $17.3 million. At December 31, 2021, the Company determined the value of the contingent value right to be immaterial and recognized a gain of $1.5 million related to the contingent value right in other income, net.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income tax amounts in the combined financial statements have been calculated on a separate return method and are presented as if the Company’s operations were separate taxpayers in the respective jurisdiction. Therefore, tax expense, cash tax payments, and items of current and deferred taxes may not be reflective of our actual tax balances prior to or subsequent to the distribution.</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company incorporated in the British Virgin Islands (“BVI”), we are principally subject to taxation in the BVI. Under the current laws of the BVI, the Company and all dividends, interest, rents, royalties, compensation and other amounts paid by the Company to persons who are not resident in the BVI and any capital gains realized with respect to any shares, debt obligations, or other securities of the Company by persons who are not resident in the BVI are exempt from all provisions of the Income Tax Ordinance in the BVI.</w:t>
      </w:r>
    </w:p>
    <w:p>
      <w:pPr>
        <w:spacing w:after="0" w:line="12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BVI has historically outsourced all of the research and clinical development for its programs under a master services agreement with BPI. As a result of providing services under this agreement, BPI was profitable during the years ended December 31, 2021 and 2020, and BPI is subject to taxation in the United States. As such, in each reporting period, the Biohaven Research Business tax provision includes the effects of consolidating the results of operations of BPI.</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December 31, 2021 and 2020, we continued to maintain a full valuation allowance against our net deferred tax assets, which are comprised primarily of research and development credit carryforwards and future stock based compensation deductions based on management’s assessment that it is more likely than not that the deferred tax assets will not be realized. The Biohaven Research Business recorded an income tax provision during the years ended December 31, 2021 and 2020 of $1.4 million and $0.0 million, respectively, which primarily represents U.S. Federal tax and state taxes related to BPI’s profitable operations in the United States.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2021, we completed the acquisition of Kleo. We recorded a full valuation allowance against our Kleo deferred tax assets and periodically review our position. Due to Kleo's cumulative loss history, we determined that a full valuation allowance on these assets was appropriate. We will continue to evaluate the need for a valuation allowance on our deferred tax assets until there is sufficient positive evidence to support the reversal of all or some portion of these allowances.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20"/>
          </w:cols>
          <w:pgMar w:left="320" w:top="1197"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of the Biohaven Research Business for the six months ended June 30, 2022 and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247,183</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154,488</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174,358</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(174,358)</w:t>
            </w:r>
          </w:p>
        </w:tc>
        <w:tc>
          <w:tcPr>
            <w:tcW w:w="0" w:type="dxa"/>
            <w:vAlign w:val="bottom"/>
          </w:tcPr>
          <w:p>
            <w:pPr>
              <w:spacing w:after="0"/>
              <w:rPr>
                <w:sz w:val="1"/>
                <w:szCs w:val="1"/>
                <w:color w:val="auto"/>
              </w:rPr>
            </w:pP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from equity method investment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(286,954)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(192,774)</w:t>
            </w:r>
          </w:p>
        </w:tc>
        <w:tc>
          <w:tcPr>
            <w:tcW w:w="0" w:type="dxa"/>
            <w:vAlign w:val="bottom"/>
          </w:tcPr>
          <w:p>
            <w:pPr>
              <w:spacing w:after="0"/>
              <w:rPr>
                <w:sz w:val="1"/>
                <w:szCs w:val="1"/>
                <w:color w:val="auto"/>
              </w:rPr>
            </w:pPr>
          </w:p>
        </w:tc>
      </w:tr>
      <w:tr>
        <w:trPr>
          <w:trHeight w:val="21"/>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BHV-7000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119,438</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119,438</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Troriluzole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Verdiperstat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BHV-1100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BHV-1200 (COVID 19)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BHV-2000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programs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Preclinical research programs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$247.2 million for the six months ended June 30, 2022, compared to $92.7 million for the six months ended June 30, 2021. The increase of $154.5 million was primarily due to increases of $119.4 million in expenses related to BHV-7000, $4.4 million related to BHV-1200, $7.0 million related to BHV-2000, $5.3 million in costs related to our preclinical research programs, and $22.8 million in personnel related costs. The $119.4 million increase in expense for BHV-7000 was primarily due to the Kv7 Platform Acquisition, which resulted in $93.7 million of expense recorded to R&amp;D during the six months ended June 30, 2022, and a $25.0 million milestone payment accrued during the second quarter of 2022 which became payable in June 2022. These increases were partially offset by decreases of $5.4 million in direct costs for the Verdiperstat program and $3.0 million in direct costs for the Troriluzole program. Personnel-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197" w:right="339" w:bottom="1440" w:gutter="0" w:footer="0" w:header="0"/>
        </w:sectPr>
      </w:pPr>
    </w:p>
    <w:bookmarkStart w:id="150" w:name="page151"/>
    <w:bookmarkEnd w:id="150"/>
    <w:p>
      <w:pPr>
        <w:spacing w:after="0" w:line="438" w:lineRule="auto"/>
        <w:rPr>
          <w:sz w:val="20"/>
          <w:szCs w:val="20"/>
          <w:color w:val="auto"/>
        </w:rPr>
      </w:pPr>
      <w:r>
        <w:rPr>
          <w:rFonts w:ascii="Times New Roman" w:cs="Times New Roman" w:eastAsia="Times New Roman" w:hAnsi="Times New Roman"/>
          <w:sz w:val="18"/>
          <w:szCs w:val="18"/>
          <w:color w:val="auto"/>
        </w:rPr>
        <w:t xml:space="preserve">related costs for the six months ended June 30, 2022 and 2021 included share-based compensation expense of $37.3 million and $21.9 million, respectively. </w:t>
      </w:r>
      <w:r>
        <w:rPr>
          <w:rFonts w:ascii="Times New Roman" w:cs="Times New Roman" w:eastAsia="Times New Roman" w:hAnsi="Times New Roman"/>
          <w:sz w:val="18"/>
          <w:szCs w:val="18"/>
          <w:i w:val="1"/>
          <w:iCs w:val="1"/>
          <w:color w:val="auto"/>
        </w:rPr>
        <w:t>General and Administrative Expenses</w:t>
      </w:r>
    </w:p>
    <w:p>
      <w:pPr>
        <w:spacing w:after="0" w:line="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$39.7 million for the six months ended June 30, 2022, compared to $19.8 million for the six months ended June 30, 2021. The increase of $19.9 million was primarily due to increases in personnel-related costs, including share-based compensation, as well as increased expenses related to accounting, legal and other professional fees. Personnel-related costs for the six months ended June 30, 2022 and 2021 included share-based compensation expense of $23.7 million and $15.4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income (expense), net was a net expense of $0.1 million for the six months ended June 30, 2022, compared to net income of $5.0 million for the six months ended June 30, 2021. The decrease of $5.1 million in net income was primarily due to the acquisition of Kleo Pharmaceuticals, Inc. in January 2021, which resulted in a gain of $5.3 million being recognized during the six months ended June 30, 2021 upon our remeasurement to fair value of the existing equity interest in Kleo.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recorded a provision for income taxes of $13.4 million for the six months ended June 30, 2022 and an insignificant provision for the six months ended June 30, 2021. The increase in income tax expense was primarily attributable to the mandatory capitalization of R&amp;D expenses effective January 1, 2022 under the Tax Cuts and Jobs Act, offset by an increased benefit to the Company's foreign derived intangible income deduction.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results of operations of the Biohaven Research Business for the years ended </w:t>
      </w:r>
      <w:r>
        <w:rPr>
          <w:rFonts w:ascii="Times New Roman" w:cs="Times New Roman" w:eastAsia="Times New Roman" w:hAnsi="Times New Roman"/>
          <w:sz w:val="18"/>
          <w:szCs w:val="18"/>
          <w:b w:val="1"/>
          <w:bCs w:val="1"/>
          <w:i w:val="1"/>
          <w:iCs w:val="1"/>
          <w:color w:val="auto"/>
        </w:rPr>
        <w:t>December 31, 2021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2020</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4"/>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83,026</w:t>
            </w: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(104,394)</w:t>
            </w: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w:t>
            </w: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(93,762)</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(95,128)</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20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4"/>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Troriluzole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Verdiperstat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BHV-1100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BHV-1200 (COVID 19)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programs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33,248</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Preclinical research programs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30"/>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w:t>
            </w:r>
          </w:p>
        </w:tc>
      </w:tr>
      <w:tr>
        <w:trPr>
          <w:trHeight w:val="248"/>
        </w:trPr>
        <w:tc>
          <w:tcPr>
            <w:tcW w:w="6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$181.5 million for the year ended December 31, 2021, compared to $98.5 million for the year ended December 31, 2020. The increase of $83.0 million was primarily due to increases of $8.5 million in direct costs for the troriluzole program, $9.6 million in direct costs for the verdiperstat program, $33.2 million in personnel related costs, and $21.2 million in costs related to our preclinical research programs.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 in personnel costs of $33.2 million was primarily a result of hiring additional personnel to support the expanding number of clinical trials and preclinical programs. Personnel-related costs for the years ended December 31, 2021 and 2020 included share-based compensation expense of $39.4 million and $18.5 million, respectively.</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$21.2 million increase in preclinical research costs was primarily due to the following: an upfront payment of $2.0 million to Yale University in connection with the Yale MoDE Agreement; an upfront payment of $5.9 million to Moda Pharmaceuticals LLC in connection with a consulting agreement to further the scientific advancement of technology, drug discovery platforms (including the technology licensed under the Yale MoDE Agreement), product candidates and related intellectual property owned or controlled by the Company; and a $3.8 million upfront payment to Reliant Glycosciences, LLC in connection with a development and license agreement to develop and commercialize conjugated antibodies for therapeutic uses relating to IgA nephropathy and treatment of other diseases and conditions. The remainder of the increase primarily related to the rise in the number of ongoing preclinical research programs, including increased costs for outsourced chemistry and research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$37.4 million for the year ended December 31, 2021, compared to $16.0 million for the year ended December 31, 2020 The increase of $21.4 million was primarily due to increased personnel-related expenses of $16.4 million, including share-based compensation expense, and a $2.0 million increase in expenses related to accounting, legal and other professional fees. Share-based compensation expense included in personnel-related costs increased $15.2 million, from $11.0 million for the year ended December 31, 2020 to $26.3 million for the year ended December 31, 2021, primarily due to annual equity incentive awards that were granted by RemainCo in the first quarter of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income (expense), net was a net income of $6.5 million for the year ended December 31, 2021, compared to net expense of $4.2 million for the year ended December 31, 2020. The decrease of $10.6 million in net expense was primarily due to a $9.4 million change in gain (loss) on equity investment, primarily due to the acquisition of Kleo Pharmaceuticals, Inc. in January 2021, which resulted in a gain of $5.3 million being recognized during 2021 upon our remeasurement to fair value of the existing equity interest in Kleo. The decrease was also due to a $1.2 million increase in other income, net, which was primarily due to a $1.5 million gain recognized in 2021 upon the Company’s determination that the fair value of a contingent value right recorded relating to the acquisition of Kleo Pharmaceuticals was immaterial as of December 31, 2021.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19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7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recorded a provision for income taxes of $1.4 million for the year ended December 31, 2021 and $0.0 million for December 31, 2020. We recorded a tax provision for the year ended December 31, 2021 for the U.S. Federal and state income taxes related to BPI’s profitable operations in the United States.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inception as a business of RemainCo, we have not generated any revenue and have incurred significant operating losses and negative cash flows from operations. We will not generate revenue from product sales unless and until we successfully complete clinical development and obtain regulatory approval for our product candidates. We expect to continue to incur significant expenses for at least the next several years as we advance our product candidates from discovery through preclinical development and clinical trials and seek regulatory approval and pursue commercialization of any approved product candidate. In addition, if we obtain marketing approval for any of our product candidates, we expect to incur significant commercialization expenses related to product manufacturing, marketing, sales and distribution. In addition, we may incur expenses in connection with the in-license or acquisition of additional product candidates.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primarily with proceeds allocated to our business from financing arrangements entered into by RemainCo and through the one-time issuance of contingently redeemable non-controlling interests. Prior to the Distribution, transfers of cash for general operating, investing, and financing activities and net cost allocation from RemainCo have been reflected in net investment from Parent in our combined balance sheets. The cash reported on our combined balance sheet represents cash held by SpinCo entities at the end of the period presented. We expect RemainCo to continue to fund our cash needs though the date of Distribution.</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2022, we had cash of $23.2 million, excluding restricted cash of $0.8 million relating to collateral held by a bank for a letter of credit (“LOC”) issued in connection with leased office space in Yardley, Pennsylvania. We continuously assess our working capital needs, capital expenditure requirements, and future investments or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152,242</w:t>
            </w: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73,588</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$126.7 million for the six months ended June 30, 2022 and primarily consisted of a net loss of $300.3 million adjusted for non-cash items, including share-based compensation of $60.9 million, acquisition of IPR&amp;D asset of $93.7 million (of which 35.0 million was paid in cash and classified as an investing activity and $58.7 million was paid in Parent common shares), depreciation and amortization of $0.7 million, issuance of Parent common shares as payment for license and consulting agreements of $1.8 million, and other non-cash items of $— million, as well as the change in our net working capital.</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$69.1 million for the six months ended June 30, 2021 and primarily consisted of a net loss of $107.5 million adjusted for non-cash items, including share-based compensation of $37.3 million, depreciation and amortization of $0.5 million, issuance of Parent common shares as payment for license and consulting agreements of $4.2 million, gain from equity method investment of $5.3 million, and other non-cash items of $2.0 million, as well as the change in our net working capital. The year-over-year increase in cash usage of $57.7 million was primarily due an increase in R&amp;D development spending.</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$145.8 million for the year ended December 31, 2021 and primarily consisted of a net loss of $213.8 million adjusted for non-cash items, including share-based compensation of $65.6 million, depreciation and amortization of $1.4 million, issuance of Parent common shares as payment for license and consulting agreements of $7.9 million, gain from equity method investment of $5.3 million, and other non-cash items of $3.4 million, as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199" w:right="339" w:bottom="1440" w:gutter="0" w:footer="0" w:header="0"/>
        </w:sectPr>
      </w:pPr>
    </w:p>
    <w:bookmarkStart w:id="153" w:name="page154"/>
    <w:bookmarkEnd w:id="153"/>
    <w:p>
      <w:pPr>
        <w:ind w:right="820"/>
        <w:spacing w:after="0" w:line="282" w:lineRule="auto"/>
        <w:rPr>
          <w:sz w:val="20"/>
          <w:szCs w:val="20"/>
          <w:color w:val="auto"/>
        </w:rPr>
      </w:pPr>
      <w:r>
        <w:rPr>
          <w:rFonts w:ascii="Times New Roman" w:cs="Times New Roman" w:eastAsia="Times New Roman" w:hAnsi="Times New Roman"/>
          <w:sz w:val="18"/>
          <w:szCs w:val="18"/>
          <w:color w:val="auto"/>
        </w:rPr>
        <w:t>well as the change in our net working capital. The year-over-year increase in cash usage of $69.9 million was primarily due an increase in R&amp;D development spending.</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$76.0 million for the year ended December 31, 2020 and primarily consisted of a net loss of $118.7 million adjusted for non-cash items, including share-based compensation of $29.5 million, depreciation and amortization of $0.1 million, and loss from equity method investment of $4.2 million, as well as the change in our net working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$36.3 million for the six months ended June 30, 2022 and was primarily due to our acquisition of Channel Biosciences LLC for $93.7 million of which $35.0 million was paid in cash and classified as a payment for IPR&amp;D asset acquisition under investing activities and $58.7 million was paid in Parent common shares.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$1.2 million for the six months ended June 30, 2021 and was due to $1.9 million in cash acquired from the business acquisition of Kleo partially offset by $0.7 million in purchases of lab equipment to support Biohaven Labs.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$0.9 million for the year ended December 31, 2021 and was due to $1.9 million in cash acquired from the business acquisition of Kleo partially offset by $0.9 million in purchases of lab equipment to support Biohaven Labs.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$2.7 million for the year ended December 31, 2020 and was due to $1.1 million in purchases of office and lab equipment and $1.6 million in payments for leasehold improvements related to our Yardley office lease.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$109.9 million for the six months ended June 30, 2022 and was due to $109.9 million in net transfer from Parent for our general operating, investing, and financing activities and net cost allocations from Parent, excluding share-based compensation.</w:t>
      </w:r>
    </w:p>
    <w:p>
      <w:pPr>
        <w:spacing w:after="0" w:line="10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was $75.8 million for the six months ended June 30, 2021 and was primarily due to $75.4 million in net transfer from Parent for our general operating, investing, and financing activities and net cost allocations from Parent, excluding share-based compensation.</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$138.4 million for the year ended December 31, 2021 and was primarily due to $138.1 million in net transfer from Parent for our general operating, investing, and financing activities and net cost allocations from Parent, excluding share-based compensation.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$152.2 million for the year ended December 31, 2020 and was due to $92.2 million in net transfer from Parent for general operating and investing activities and net cost allocations from Parent, excluding share-based compensation, and $60.0 million from the sale of contingently redeemable non-controlling interest by BioShin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and expand preclinical activities, clinical trials and potential commercialization of our product candidates. Our costs will also increase as we:</w:t>
      </w:r>
    </w:p>
    <w:p>
      <w:pPr>
        <w:spacing w:after="0" w:line="108" w:lineRule="exact"/>
        <w:rPr>
          <w:sz w:val="20"/>
          <w:szCs w:val="20"/>
          <w:color w:val="auto"/>
        </w:rPr>
      </w:pPr>
    </w:p>
    <w:p>
      <w:pPr>
        <w:ind w:left="660" w:right="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clinical-stage neurology assets, including the initiation of a Phase 1 clinical trial for BHV-7000 for the treatment of focal epilepsy and a Phase 3 clinical trial for taldefgrobep alfa for the treatment of SMA;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glutamate modulation and MPO platform product candidates;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progress other supporting studies required for regulatory approval of our product candidates, including long-term safety studies, drug-drug interaction studies, preclinical toxicology and carcinogenicity studies;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80"/>
          </w:cols>
          <w:pgMar w:left="320" w:top="1201" w:right="399" w:bottom="1440" w:gutter="0" w:footer="0" w:header="0"/>
        </w:sectPr>
      </w:pPr>
    </w:p>
    <w:bookmarkStart w:id="154" w:name="page155"/>
    <w:bookmarkEnd w:id="154"/>
    <w:p>
      <w:pPr>
        <w:ind w:left="66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indications for our current product candidates and any future product candidates that we may pursue;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portfolio of product candidates through the acquisition or in-license of additional product candidates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sales, marketing and distribution infrastructure to commercialize any future product candidates for which we may obtain marketing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medical, commercial, and development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Including the cash contribution from Parent prior to the Distribution date, we expect that our cash, as of the Distribution date, will be sufficient to fund our current forecast for operating expenses, financial commitments and other cash requirements for more than one year. Thereafter, we expect we will need to raise additional capital until we are profitable. If no additional capital is raised through either public or private equity financings, debt financings, strategic relationships, alliances and licensing agreements, or a combination thereof, we may delay, limit or reduce discretionary spending in areas related to research and development activities and other general and administrative expenses in order to fund our operating costs and working capital needs.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wrong, and we could utilize our available capital resources sooner than we expect. We expect that we will require additional capital to pursue in-licenses or acquisitions of other product candidates. If we receive regulatory approval for troriluzole, or our other product candidates, we expect to incur commercialization expenses related to product manufacturing, sales, marketing and distribution, depending on where we choose to commercialize or whether we commercialize jointly or on our own.</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spacing w:after="0" w:line="122"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studies and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pandemic on our business operations and funding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hiring new employees to support our continued growth;</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public and private equity offerings, debt financings, other third-party funding, strategic alliances, licensing arrangements or marketing and distribution arrangements. To the extent that we raise additional capital through the sale of equity or convertible debt securities, the ownership interest of our existing shareholders will be diluted, and the terms of these securities may include liquidation or other preferences that adversely affect the rights of its existing shareholders.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other third-party funding,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will be required to delay, limit, reduce or terminate our product development or future commercialization efforts or grant rights to develop and market products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20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product candidates that we would otherwise prefer to develop and market ourselves.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 of the Biohaven Research Business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financial results are affected by the selection and application of accounting policies and methods. Significant accounting policies which require management’s judgment are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of Intangible Assets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In-Process Research and Development (“IPR&amp;D”) that the Company acquires in conjunction with the acquisition of a business represents the fair value assigned to incomplete research projects which, at the time of acquisition, have not reached technological feasibility. The amounts are capitalized and accounted for as indefinite-lived intangible assets, subject to impairment testing until completion or abandonment of the projects. Upon successful completion of each project, the Company will make a determination as to the then-useful life of the intangible asset, generally determined by the period in which the substantial majority of the cash flows are expected to be generated, and begin amortization.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acquired intangible assets is primarily determined using an income-based approach referred to as the multi-period excess earnings method utilizing Level 3 fair value inputs. The market participant valuation assumes a global view considering all potential jurisdictions and indications based on discounted after-tax cash flow projections, risk adjusted for estimated probability of technical and regulatory success.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evaluates IPR&amp;D for impairment at least annually in the fourth quarter and more frequently if impairment indicators exist, by performing a quantitative test that compares the fair value of the IPR&amp;D intangible asset with its carrying value. If the fair value is less than the carrying amount, an impairment loss is recognized in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the combined financial statements of the Biohaven Research Business, the Biohaven Research Business is required to estimate its accrued research and development expenses. This process involves reviewing open contracts and purchase orders, communicating with our personnel to identify services that have been performed on its behalf and estimating the level of service performed and the associated cost incurred for the service when it has not yet been invoiced or otherwise notified of actual costs. The majority of its service providers invoice the Biohaven Research Business in arrears for services performed, on a pre-determined schedule or when contractual milestones are met; however, some require advance payments. The Biohaven Research Business makes estimates of its accrued expenses as of each balance sheet date in the combined financial statements based on facts and circumstances known to the Biohaven Research Business at that time. It periodically confirms the accuracy of these estimates with the service providers and make adjustments if necessary. Examples of estimated accrued research and development expenses include fees paid to:</w:t>
      </w:r>
    </w:p>
    <w:p>
      <w:pPr>
        <w:spacing w:after="0" w:line="138"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in connection with preclinical development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and clinical studies;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and clinical trial materials.</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Biohaven Research Business bases its expenses related to preclinical studies and clinical trials on its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the Biohaven Research Business estimate the time period over which services will be performed and the level of effort to be expended in each period. If the actual timing of the performance of services or the level of effort varies from the estimate, the Biohaven Research Business adjusts the accrual or the amount of prepaid expenses accordingly. Although it does not expect its estimates to be materially different from amounts actually incurred, the Biohaven Research Business’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of the Biohaven Research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00"/>
          </w:cols>
          <w:pgMar w:left="320" w:top="1201"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i w:val="1"/>
          <w:iCs w:val="1"/>
          <w:color w:val="auto"/>
        </w:rPr>
        <w:t>Cost Allocations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Biohaven Research Business has historically operated as part of RemainCo and not as a separate, publicly traded company. Accordingly, certain shared costs and share-based compensation expenses have been allocated to us and are reflected as expenses in the accompanying combined statements of operations and comprehensive loss. Management considers the expense methodology and resulting allocation to be reasonable for all periods presented; however, the allocations may not be indicative of actual expenses that would have been incurred had we operated as an independent, publicly traded company for the periods presented. Actual costs that we may have incurred had we been a stand-alone company would depend on a number of factors, including the organizational structure, what corporate functions the Company might have performed directly or outsourced and strategic decisions the Company might have made in areas such as executive management, legal and other professional services, and certain corporate overhead functions.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combined financial statements appearing at the end of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19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expected directors and executive officers, including their ages as of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0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19"/>
                <w:szCs w:val="19"/>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Vlad Coric, M.D.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Elyse Stock, M.D.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Buten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Tilton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Commercial Officer, Rare and Orphan Diseases</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Gentile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of Clinical Operations</w:t>
            </w:r>
          </w:p>
        </w:tc>
      </w:tr>
      <w:tr>
        <w:trPr>
          <w:trHeight w:val="270"/>
        </w:trPr>
        <w:tc>
          <w:tcPr>
            <w:tcW w:w="3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700" w:type="dxa"/>
            <w:vAlign w:val="bottom"/>
            <w:shd w:val="clear" w:color="auto" w:fill="CCEEFF"/>
          </w:tcPr>
          <w:p>
            <w:pPr>
              <w:spacing w:after="0"/>
              <w:rPr>
                <w:sz w:val="23"/>
                <w:szCs w:val="23"/>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Non-Management Directors: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00" w:type="dxa"/>
            <w:vAlign w:val="bottom"/>
          </w:tcPr>
          <w:p>
            <w:pPr>
              <w:spacing w:after="0"/>
              <w:rPr>
                <w:sz w:val="19"/>
                <w:szCs w:val="19"/>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 Heffernan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H. Bailey, M.D.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J. Hugin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W. Childs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Julia P. Gregory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Kishan Mehta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Irina Antonijevic</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Vlad Coric, M.D.</w:t>
      </w:r>
    </w:p>
    <w:p>
      <w:pPr>
        <w:spacing w:after="0" w:line="1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Dr. Coric, age 51, has served as our chief executive officer and as a director since incorporation, and was previously the chief executive officer and a director of RemainCo. From January 2007 to September 2015, he served as a group director of global clinical research at Bristol-Myers Squibb Company, or BMS, focusing both in oncology global clinical research and neuroscience global clinical research. He has been involved in multiple drug development programs, including marketed drugs such as Abilify (aripiprazole; partial dopamine agonist), Opdivo (nivolumab; anti-PD1), Yervoy (Ipilimumab; anti-CTLA-4), Daklinza (daclatasvir; NS5A inhibitor) and Sunvepra (asunaprevir; NS3 inhibitor). Since July 2001, Dr. Coric has also continued to serve as an associate clinical professor of psychiatry at Yale School of Medicine. He previously served as the chief of the Yale Clinical Neuroscience Research Unit and the director of the Yale Obsessive-Compulsive Disorder Research Clinic. He has served as president of the Connecticut Psychiatric Society. Dr. Coric currently serves on the board of directors of Social Capital Suvretta Holdings Corp. I, a Nasdaq-listed special purpose acquisition company, together with Mr. Mehta. He also serves on the boards of directors of Vita Therapeutics, Inc., Pyramid Biosciences, Inc. and OLM School of Madison. Dr. Coric received his M.D. from Wake Forest University School of Medicine. He completed his internship at Yale-New Haven Hospital and residency training at the Yale Psychiatry Residency Training Program, where he also served as the program-wide chief resident for the Yale Department of Psychiatry, and chief resident on the PTSD firm at the West-Haven Connecticut Veterans Administration Hospital. Dr. Coric was an honors scholar in neurobiology and physiology at the University of Connecticut where he received a B.S. degree. We believe that Dr. Coric’s operational experience with our Company gained from serving as our chief executive officer, as well as his extensive experience in the biopharmaceutical industry, qualifies him to serve as a member of our Board.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Elyse Stock, M.D.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 Stock will serve as our chief medical officer and previously served as the chief medical officer of RemainCo since August 2019. Prior to this, from June 2017 to August 2019, she served as our chief of portfolio strategy and development. Prior to her time at the Company, she served 19 years at BMS developing numerous experimental agents across multiple therapeutic areas including neuroscience, oncology, immunology and cardiovascular. Dr. Stock completed her residency at Payne Whitney Clinic, Cornell Medical Center and her fellowship in Child and Adolescent Psychiatry at Children's Hospital National Medical Center in Washington D.C. She earned her medical degree at New York University School of Medicine.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25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Matthew Buten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Buten will serve as our chief financial officer, and previously he served as the chief financial officer of RemainCo since 2021. Mr. Buten previously served as Managing Director of Foresite Capital Management from December 2012 to December 2021. Prior to joining Foresite Capital Management, Mr. Buten served as a healthcare portfolio manager at Catapult Capital Management LLC / Millennium LP from June 2007 to June 2012. Prior to that, Mr. Buten was co-founder and co-manager of Sapphire Capital Partners LLP, a co-founder and a partner at Argus Partners, a Managing Director and Head of Healthcare Investment Banking for Needham &amp; Company, LLC and as a Director in Investment Banking at Smith Barney Inc. Mr. Buten holds a Bachelor of Science in economics (B.S.) from The Wharton School of the University of Pennsylvania.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Tilton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Mr. Tilton will serve as our chief commercial officer, rare and orphan diseases, and previously served as the chief commercial officer, rare and orphan diseases of RemainCo since April 2019 and, prior to that, as RemainCo’s chief commercial officer since April 2016. Prior to this, from November 2006 to March 2016, he served in increasingly senior marketing and business roles with Alexion Pharmaceuticals, Inc., including serving as its executive director, global sales and marketing operations from January 2011 to March 2016. Prior to his time at Alexion Pharmaceuticals, Mr. Tilton served as a director, division operations at Pfizer from August 2005 to November 2006, as a regional sales manager for Agouron Pharmaceuticals from November 1999 to August 2005 and as division manager at Sanofi from 1993 to 1999. Mr. Tilton received his BSBA in finance from the University of South Carolina— Columbia.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Kimberly Gentile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Ms. Gentile will serve as our senior vice president, clinical operations and prior to that she served as the senior vice president, clinical operations of RemainCo since February 2014. Before coming to Biohaven, Ms. Gentile served as associate director, project manager, global clinical operations at BMS from 2000 to February 2014. Prior to this, she was a senior clinical trial manager at SCIREX Corporation from 1996 to June 2000. Ms. Gentile received her B.S. in Psychology from Salem State University.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Non-Management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T. Heffernan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Michael T. Heffernan, Lead Independent Director, age 57, has served as a director of our Company since January 2020. Mr. Heffernan has over 25 years of leadership experience in the biotech and pharmaceutical industries. Mr. Heffernan is the Founder and Chairman of the Board of Collegium Pharmaceutical, Inc. (NASDAQ: COLL), where he previously served as President and Chief Executive Officer from October 2002 until July 2018. In addition, he is actively managing Avenge Bio, Inc. an Immuno-Oncology company that he co-founded in March 2019. Prior to his time at Collegium Pharmaceutical, Inc. Mr. Heffernan served as President and Chief Executive Officer of Onset Dermatologics LLC, a dermatology company that he founded in November 2005 and spun out of Collegium Pharmaceutical, Inc. to create PreCision Dermatology Inc. in December 2010. PreCision Dermatology Inc. was later sold to Bausch Health Companies Inc. (formerly Valeant Pharmaceuticals International Inc.) in July 2014. Prior to that, Mr. Heffernan held positions as co-founder and Chief Executive Officer of Clinical Studies Ltd., a pharmaceutical contract research organization that was sold to PhyMatrix Corp., a public healthcare services company, and Chief Executive Officer and Chairman of PhyMatrix Corp. Mr. Heffernan began his career at Eli Lilly and Company where he served in numerous sales and marketing roles. Mr. Heffernan has been an advisor, investor and board member in a number of biopharmaceutical and healthcare services companies. His recent board memberships include: TyRx, Inc. (sold to Medtronic plc), PreCision Dermatology Inc. (sold to Bausch Health Companies Inc.), Ocata Therapeutics, Inc. (sold to Astellas Pharma Inc.), and Veloxis Pharmaceuticals, Inc. (sold to Asahi Kasei Corporation). He is a member of the board of Akebia Therapeutics, Inc. (NASDAQ: AKBA), Synlogic, Inc. (NASDAQ: SYBX) and Trevi Therapeutics Inc. (NASDAQ: TRVI). We believe that Mr. Heffernan's extensive experience as a senior executive in the commercial pharmaceutical industry qualifies him to serve as a member of our Board.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Gregory H. Bailey, M.D.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Gregory H. Bailey, M.D., age 66, has served as a director of the Company since January 2014. Since co-founding the company in October 2016, Dr. Bailey has served as CEO of Juvenescence Limited, a life science and biotech company developing therapies to increase healthy human longevity. Dr. Bailey is a co-founder and has served as managing partner of MediqVentures since January 2014, the chairman and director of Portage Biotech, Inc. (OTCBB: PTGEF) since June 2013,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197" w:right="339" w:bottom="1440" w:gutter="0" w:footer="0" w:header="0"/>
        </w:sectPr>
      </w:pPr>
    </w:p>
    <w:bookmarkStart w:id="159" w:name="page160"/>
    <w:bookmarkEnd w:id="159"/>
    <w:p>
      <w:pPr>
        <w:ind w:right="80"/>
        <w:spacing w:after="0" w:line="254" w:lineRule="auto"/>
        <w:rPr>
          <w:sz w:val="20"/>
          <w:szCs w:val="20"/>
          <w:color w:val="auto"/>
        </w:rPr>
      </w:pPr>
      <w:r>
        <w:rPr>
          <w:rFonts w:ascii="Times New Roman" w:cs="Times New Roman" w:eastAsia="Times New Roman" w:hAnsi="Times New Roman"/>
          <w:sz w:val="18"/>
          <w:szCs w:val="18"/>
          <w:color w:val="auto"/>
        </w:rPr>
        <w:t>director of Portage Pharmaceuticals Limited since June 2013, and director of Manx Financial Group since March 2018. He has been a managing partner of Palantir Group, Inc., a merchant bank involved in a number of biotech company startups and financings since April 2002. Dr. Bailey was a founder of SalvaRx Group Plc and has served on its board of directors since May 2015. Dr. Bailey was also the co-founder of Ascent Healthcare Solutions, VirnetX Inc. (NYSE American:VHC), and DuraMedic Inc. He was the initial financier and an independent director of Medivation, Inc., from 2005 to December 2012. He has also served on the board of directors of AgeX Therapeutics, Inc. (NYSE American: AGE) since 2018. Dr. Bailey practiced emergency medicine for ten years before entering finance. He received his medical degree from the University of Western Ontario. We believe that Dr. Bailey’s extensive venture capital industry experience and technical background, along with his experience with public companies and biopharmaceutical companies, qualifies him to serve as a member of our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Robert J. Hugin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Robert J. Hugin, age 67, has served as a director of our Company since June 2020, served as Chief Executive Officer of Celgene Corporation, a biopharmaceutical company, from June 2010 until March 2016, as Chairman of its Board of Directors from June 2011 to March 2016 and as Executive Chairman from March 2016 to January 2018. Prior to June 2010, Mr. Hugin held a number of management roles at Celgene, including President from May 2006 to July 2014, Chief Operating Officer from May 2006 to June 2010 and Senior Vice President and Chief Financial Officer from June 1999 to May 2006, and served as a director of Celgene from December 2001 through January 2018. Prior to that, Mr. Hugin was a Managing Director at J.P. Morgan &amp; Co. Inc., which he joined in 1985. Mr. Hugin is currently a member of the board of directors of Chubb Limited. In the past five years, Mr. Hugin also served as a director of Allergan plc, Danaher Corporation and The Medicines Company. We believe that Mr. Hugin's extensive experience as a chief executive officer in the biopharmaceutical industry qualifies him to serve as a member of our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W. Childs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John W. Childs, age 80, has served as a director of our Company since January 2014. Mr. Childs is the Chairman of J.W. Childs Associates, L.P., a private equity and special situation investment firm founded in 1995, currently focusing on life science, real estate and consumer brands investments. Previously, Mr. Childs was Senior Managing Director of the Thomas H. Lee Company from 1987 to 1995, where he had broad responsibilities for originating, analyzing, negotiating, and managing leveraged buyout transactions, such as Snapple and General Nutrition Company. Prior to that Mr. Childs held various executive positions in the investment area at the Prudential Insurance Company of America, ultimately serving as Senior Managing Director in charge of the Capital Markets Group. He is currently a Director of Realm, LLC, a premium Napa wine company, Biohaven Pharmaceuticals, Pyramid Biosciences, OMAX Health, VeraDermics and Basin Holdings. Prior to their sale, he was Chairman of the Board of Kosta Browne, Sunny Delight and CHG Healthcare Services. Mr. Childs is also on the board of Delta Waterfowl, Waterfowl Research Foundation and the Wild Salmon Center, focusing on wildlife conservation. Mr. Childs has a B.A. from Yale University and a M.B.A. from Columbia University. We believe that Mr. Childs's extensive experience in private equity, venture capital and life science qualifies him to serve as a member of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Julia P. Gregory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Julia P. Gregory, age 69, has served as a director of our Company since August 2017. Ms. Gregory has been Chairman and CEO of Isometry Advisors, Inc., a biotechnology financial, strategy and management advisory firm, since April 2016. Ms. Gregory formerly served as Chief Executive Officer at ContraFect Corporation (NASDAQ: CFRX) from November 2013 through March 2016 and as a member of ContraFect’s Board of Directors from April 2014 through March 2016. Prior to her appointment as CEO, she served as ContraFect’s Executive Vice President and Chief Financial Officer from July 2012 to November 2013. Prior to her time at ContraFect, she served as President and CEO of Five Prime Therapeutics, Inc. (NASDAQ: FPRX) from 2009 until August 2011, and as Executive Vice President, Corporate Development and Chief Financial Officer of Lexicon Pharmaceuticals, Inc. (NASDAQ: LXRX) from 2000 to 2008. Ms. Gregory has 20 years of investment banking experience, starting at Dillon, Read &amp; Co. and subsequently at Punk, Ziegel &amp; Company, where she served as the head of investment banking and head of its life sciences practice. Ms. Gregory served on the Board of Directors of the Sosei Group Corporation (TSE: 4565.T) through March 2020, and as Executive Chair of Cavion, Inc. (sold to Jazz Pharmaceuticals plc. in August 2019). Ms. Gregory currently serves on the Boards of Directors of public companies Nurix Therapeutics, Inc. (NASDAQ: NRIX), Freeline Therapeutics Holdings plc (NASDAQ: FRLN), and IMV, Inc. (NASDAQ: IMV; TSX: IMV.TO ). Ms. Gregory obtained a Masters of Business Administration from the Wharton School at the University of Pennsylvania, and earned her B.A. at George Washington University. We believe that Ms. Gregory’s industry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201" w:right="339" w:bottom="1440" w:gutter="0" w:footer="0" w:header="0"/>
        </w:sectPr>
      </w:pPr>
    </w:p>
    <w:bookmarkStart w:id="160" w:name="page161"/>
    <w:bookmarkEnd w:id="160"/>
    <w:p>
      <w:pPr>
        <w:ind w:right="180"/>
        <w:spacing w:after="0" w:line="282" w:lineRule="auto"/>
        <w:rPr>
          <w:sz w:val="20"/>
          <w:szCs w:val="20"/>
          <w:color w:val="auto"/>
        </w:rPr>
      </w:pPr>
      <w:r>
        <w:rPr>
          <w:rFonts w:ascii="Times New Roman" w:cs="Times New Roman" w:eastAsia="Times New Roman" w:hAnsi="Times New Roman"/>
          <w:sz w:val="18"/>
          <w:szCs w:val="18"/>
          <w:color w:val="auto"/>
        </w:rPr>
        <w:t>leadership and expertise in strategy development and implementation, investment banking and business development qualify her to serve as a member of our Board.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Kishan Mehta</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Kishan Mehta, age 36, has served as a director of our Company since June 2021. Mr. Mehta is the Portfolio Manager of the Averill strategy at Suvretta Capital Management, LLC. Mr. Mehta has over a decade of experience in the healthcare industry. Since 2021, Mr. Mehta has also served as President and a director of four Nasdaq-listed special-purpose acquisition companies affiliated with Suvretta, Social Capital Suvretta Holdings Corp. I, Social Capital Suvretta Holdings Corp. II, Social Capital Suvretta Holdings Corp. III, and Social Capital Suvretta Holdings Corp. IV. Prior to becoming the Portfolio Manager of the investment strategy, he served as a strategic advisor to the Company where he advised the firm on various business development, corporate strategy, and capital structure decisions. From 2016 to 2018, Mr. Mehta served as a Portfolio Manager at Surveyor Capital, a division of Citadel, where he managed a beta and factor neutral, healthcare-focused long/short equity portfolio. From 2012 to 2016, he was an Analyst at Adage Capital, where he focused on public/private investments in therapeutics. Prior to that, Mr. Mehta had a similar role at Apothecary Capital, a division of BBT Capital. From 2007 to 2010, Mr. Mehta worked as a Mergers &amp; Acquisitions Analyst at Evercore Partners, focusing on pharmaceuticals. We believe that Mr. Mehta's extensive experience in finance, equity investments and life science companies qualifies him to serve on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Irina Antonijevic</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Irina Antonijevic, age 57, has served as a director of our Company since May 2022. Dr. Antonijevic is currently Chief Medical Officer ("CMO") and Head of R&amp;D at Triplet Therapeutics, a company developing novel therapeutics for repeat expansion disorders such as Huntington’s disease, spinocerebellar ataxias and Myotonic Dystrophy. Prior to that, she served as VP of Translational Medicine and Development at Wave Life Sciences, CMO at vasopharm GmbH, developing a treatment for severe traumatic brain injury, and Head of Early Development, MS, Neurology and Ophthalmology at Sanofi Genzyme. Dr. Antonijevic has been a member of the supervisory board of 4SC AG since 2012, and of Paion AG from 2017 through early 2022. Dr. Antonijevic is board certified in Psychiatry and completed her residency in psychiatry and neurology at the Max Planck Institute for Psychiatry. Dr. Antonijevic obtained her venia legendi from the Berlin University and her PhD from the University of Edinburgh, United Kingdom. We believe that Dr. Antonijevic’s extensive experience in neuroscience research and drug development qualifies her to serve as a member of our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will be divided into three classes and will have eight members. Dr. Vlad Coric is the chairman of the board. There are no family relationships between any of our executive officers and directors. At the time of the Distribution, each class will consist, as nearly as possible, of one-third of the total number of directors, and each class will have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At the time of the Distribution, our directors will be divided among the three classes as follows:</w:t>
      </w:r>
    </w:p>
    <w:p>
      <w:pPr>
        <w:spacing w:after="0" w:line="133" w:lineRule="exact"/>
        <w:rPr>
          <w:sz w:val="20"/>
          <w:szCs w:val="20"/>
          <w:color w:val="auto"/>
        </w:rPr>
      </w:pPr>
    </w:p>
    <w:p>
      <w:pPr>
        <w:ind w:left="660" w:right="580" w:hanging="328"/>
        <w:spacing w:after="0" w:line="28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will consist of Julia Gregory, Michael T. Heffernan and Robert J. Hugin, and their term will expire at our second annual meeting of shareholders to be held after the completion of the Distribution;</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will consist of Dr. Gregory Bailey, John Childs, and Kishan Mehta, and their term will expire at our third annual meeting of shareholders to be held after the completion of the Distribution;</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will consist of Dr. Vlad Coric and Dr. Irina Antonijevic, and their term will expire at our first annual meeting of shareholders to be held after the completion of the Distribution;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the number of directors changes, any increase or decrease will be apportioned among the classes so as to maintain the number of directors in each class as nearly as possible. Any additional directors of a class elected to fill a vacancy resulting from an increase in such class will hold office for a term that coincides with the remaining term of that class. Decreases in the number of directors will not shorten the term of any incumbent director.</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board provisions could make it more difficult for third parties to gain control of our company by making it difficult to replace 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00"/>
          </w:cols>
          <w:pgMar w:left="320" w:top="1201" w:right="3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is anticipated that six of the eight members of SpinCo’s board of directors, except the Chief Executive Officer, who will be an employee of SpinCo, and Mr. Mehta will meet the criteria for independence as defined by the rules of the NYSE and the Code of Business Conduct and Ethics for Employees, Executive Officers and Directors that will be adopted by the SpinCo board of directors (see discussion below under “—Code of Business Conduct and Ethics for Employees, Executive Officers and Directors”).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certain phase-in periods with respect to director independence will be available to us under New York Stock Exchange rules. We expect to take advantage of certain of these provisions. The phase-in periods allow us to have less than a majority of independent directors upon the listing date of our common shares, so long as our board is majority independent within one year of the effective date of the registration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Effective upon the completion of the Distribution, our board of directors will establish an audit committee, a compensation committee and a nominating and corporate governance committee, each of which has the composition and responsibilities described below. From time to time, the board may establish other committees to facilitate the management of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audit committee will review our internal accounting procedures and will consult with and review the services provided by our independent registered public accountants. Our audit committee will consist of three directors, John W. Childs, Julia Gregory, and Robert J. Hugin. Julia P. Gregory will be the chairman of the audit committee and our board of directors has determined that all three directors are each an “audit committee financial expert” as defined by SEC rules and regulations. Our board of directors has determined that all members of our audit committee are independent directors under New York Stock Exchange listing rules and under Rule 10A-3 under the Exchange Act. We intend to continue to evaluate the requirements applicable to us and we intend to comply with the future requirements to the extent that they become applicable to our audit committee. The principal duties and responsibilities of our audit committee will include:</w:t>
      </w:r>
    </w:p>
    <w:p>
      <w:pPr>
        <w:spacing w:after="0" w:line="135" w:lineRule="exact"/>
        <w:rPr>
          <w:sz w:val="20"/>
          <w:szCs w:val="20"/>
          <w:color w:val="auto"/>
        </w:rPr>
      </w:pPr>
    </w:p>
    <w:p>
      <w:pPr>
        <w:ind w:left="660" w:right="5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retaining an independent registered public accounting firm to serve as independent auditor to audit our financial statements, overseeing the independent auditor’s work and determining the independent auditor’s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in advance all audit services and non-audit services to be provided to us by our independent auditor;</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and auditing or compliance matters, as well as for the confidential, anonymous submission by our employees of concerns regarding questionable accounting or auditing matters;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the results of the annual audit and the independent auditor’s review of our quarterly financial statements; and</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management and our independent auditor about the scope, adequacy and effectiveness of our internal accounting controls, the objectivity of our financial reporting and our accounting policies and practices.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compensation committee will review and determines the compensation of all our executive officers. Upon completion of the Distribution, our compensation committee will consist of three directors, John Childs, Michael T. Heffernan and Robert J. Hugin, each of whom is a non-employee member of our board of directors as defined in Rule 16b-3 under the Exchange Act. Michael T. Heffernan will be the chairman of the compensation committee. Our board of directors has determined that the composition of our compensation committee satisfies the applicable independence requirements under, and the functioning of our compensation committee complies with the applicable requirements of, the New York Stock Exchange rules and SEC rules and regulations. We intend to continue to evaluate and intend to comply with all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1197"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requirements applicable to our compensation committee. The principal duties and responsibilities of our compensation committee will include:</w:t>
      </w:r>
    </w:p>
    <w:p>
      <w:pPr>
        <w:spacing w:after="0" w:line="171" w:lineRule="exact"/>
        <w:rPr>
          <w:sz w:val="20"/>
          <w:szCs w:val="20"/>
          <w:color w:val="auto"/>
        </w:rPr>
      </w:pPr>
    </w:p>
    <w:p>
      <w:pPr>
        <w:ind w:left="660" w:right="220" w:hanging="328"/>
        <w:spacing w:after="0" w:line="261"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approving, and making recommendations to the board of directors regarding, performance goals and objectives relevant to the compensation of our chief executive officer, evaluating the performance of our chief executive officer in light of those goals and objectives and setting, or recommending to the full board of directors for approval, the chief executive officer’s compensation, including incentive-based and equity-based compensation, based on that evaluation;</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our other executive officers, based in part on recommendations of the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administrative authority under our stock plans and employee benefit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making recommendations to our board of directors regarding director compensation;</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that we may be required from time to time to include in SEC filings;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compensation committee report on executive compensation as may be required from time to time to be included in our annual proxy statements or annual reports on Form 10-K filed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Upon the completion of the Distribution, our nominating and corporate governance committee will consist of four directors, Dr. Gregory Bailey, Julia Gregory, Michael T. Heffernan, and Robert J. Hugin. Dr. Gregory Bailey will be the chairman of the nominating and corporate governance committee. Subject to our compliance with the phase-in provisions below, our board of directors has determined that the composition of our nominating and corporate governance committee satisfies the applicable independence requirements under, and the functioning of our nominating and corporate governance committee complies with the applicable requirements of, the New York Stock Exchange standards and SEC rules and regulations. Upon the listing of our common shares on the NYSE, a majority of the members of our nominating and corporate governance committee will satisfy the applicable independence requirements of the NYSE. We are permitted to phase in our compliance with the independent nominating and corporate governance committee requirements of the NYSE, which requires all members to be independent within one year of listing. We will comply with the phase-in requirements of the NYSE rules, and within one year of our listing on the NYSE, all members of our nominating and corporate governance committee will be independent under NYSE rules. We will continue to evaluate and will comply with all future requirements applicable to our nominating and corporate governance committee. The nominating and corporate governance committee’s responsibilities will include:</w:t>
      </w:r>
    </w:p>
    <w:p>
      <w:pPr>
        <w:spacing w:after="0" w:line="138"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need for new directors and identifying individuals qualified to become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persons to be nominated for election as directors and to each of the board’s committees;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individual director performance, participation and qualifications;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effectiveness of the Board and the quality of the relationship between management and the Board;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management’s and the board’s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Effective upon the effectiveness of the registration statement of which this information statement forms a part, we will adopt a code of business conduct and ethics (the “Code of Conduct”), applicable to all of our employees, executive officers and directors. Following the closing of the Distribution, the Code of Conduct will be available on our website at </w:t>
      </w:r>
      <w:r>
        <w:rPr>
          <w:rFonts w:ascii="Times New Roman" w:cs="Times New Roman" w:eastAsia="Times New Roman" w:hAnsi="Times New Roman"/>
          <w:sz w:val="18"/>
          <w:szCs w:val="18"/>
          <w:i w:val="1"/>
          <w:iCs w:val="1"/>
          <w:color w:val="auto"/>
        </w:rPr>
        <w:t>www.biohavenpharma.com</w:t>
      </w:r>
      <w:r>
        <w:rPr>
          <w:rFonts w:ascii="Times New Roman" w:cs="Times New Roman" w:eastAsia="Times New Roman" w:hAnsi="Times New Roman"/>
          <w:sz w:val="18"/>
          <w:szCs w:val="18"/>
          <w:color w:val="auto"/>
        </w:rPr>
        <w:t>. The nominating and corporate governance committee of our board of directors will be responsible for overseeing the Code of Conduct and must approve any waivers of the Code of Conduct for employees,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00"/>
          </w:cols>
          <w:pgMar w:left="320" w:top="1201" w:right="379" w:bottom="1440" w:gutter="0" w:footer="0" w:header="0"/>
        </w:sectPr>
      </w:pPr>
    </w:p>
    <w:bookmarkStart w:id="163" w:name="page164"/>
    <w:bookmarkEnd w:id="163"/>
    <w:p>
      <w:pPr>
        <w:ind w:right="440"/>
        <w:spacing w:after="0" w:line="282" w:lineRule="auto"/>
        <w:rPr>
          <w:sz w:val="20"/>
          <w:szCs w:val="20"/>
          <w:color w:val="auto"/>
        </w:rPr>
      </w:pPr>
      <w:r>
        <w:rPr>
          <w:rFonts w:ascii="Times New Roman" w:cs="Times New Roman" w:eastAsia="Times New Roman" w:hAnsi="Times New Roman"/>
          <w:sz w:val="18"/>
          <w:szCs w:val="18"/>
          <w:color w:val="auto"/>
        </w:rPr>
        <w:t>executive officers and directors. We expect that any amendments to the Code of Conduct, or any waivers of its requirements, will be disclosed on our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None of our directors who will serve as members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expect that our board of directors will adopt a director compensation policy for our non-employee directors in connection with or following the Distribution.</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SpinCo was not formed as of December 31, 2021, we did not have any directors or pay any compensation to non-employee directors with respect to service on our board of directors, during the year ended December 31, 2021.</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 information concerning the compensation paid to or earned by directors of RemainCo may not be directly relevant to or indicative of the compensation that any such directors will receive (as applicable) as directors of SpinCo following the Distribution, but is available in RemainCo’s previous annual proxy statements filed with the SEC. Disclosure of the compensation that RemainCo directors received during the year ended December 31, 2021 is included in the proxy statement that RemainCo filed on March 11,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00"/>
          </w:cols>
          <w:pgMar w:left="320" w:top="1201" w:right="379" w:bottom="1440" w:gutter="0" w:footer="0" w:header="0"/>
        </w:sectPr>
      </w:pPr>
    </w:p>
    <w:bookmarkStart w:id="164" w:name="page165"/>
    <w:bookmarkEnd w:id="1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As a newly formed entity, SpinCo did not have any executive officers or pay any compensation during the year ended December 31, 2021. Historical information concerning the compensation paid to or earned by named executive officers of RemainCo may not be directly relevant or indicative of the compensation that any such officers will receive (as applicable) as named executive officers of SpinCo following the Distribution, but is available in RemainCo’s previous annual proxy statements filed with the SEC. Disclosure of the compensation that RemainCo named executive officers received during the year ended December 31, 2021 is included in the proxy statement that RemainCo filed on March 11, 2022. Detailed information on the compensation arrangements of SpinCo’s named executive officers for 2022 will be provided in SpinCo’s first proxy statement following the Distribution.</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“Corporate Governance and Management—Executive Officers” of this information statement for the list of individuals who are expected to serve in executive officer positions of SpinCo following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Following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equity-based compensation will be an important component of the executive compensation program of SpinCo because we believe it is important to maintain a strong link between executive incentives and the creation of stockholder value. Accordingly, prior to the Distribution, we expect to adopt the 2022 Equity Incentive Plan, which we refer to as the “2022 Plan,” and the 2022 Employee Share Purchase Plan, which we refer to as the “ESPP”. The material terms of these plans are set forth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Incentive Plan</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SpinCo’s board of directors is expected to adopt our 2022 Equity Incentive Plan, or 2022 Plan, and we anticipate our shareholder will approve the 2022 Plan prior to the Distribution. The 2022 Plan is expected to become effective immediately prior to and contingent upon the date on which the Distribution occurs.</w:t>
      </w:r>
    </w:p>
    <w:p>
      <w:pPr>
        <w:spacing w:after="0" w:line="1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Awards. </w:t>
      </w:r>
      <w:r>
        <w:rPr>
          <w:rFonts w:ascii="Times New Roman" w:cs="Times New Roman" w:eastAsia="Times New Roman" w:hAnsi="Times New Roman"/>
          <w:sz w:val="18"/>
          <w:szCs w:val="18"/>
          <w:color w:val="auto"/>
        </w:rPr>
        <w:t>The 2022 Plan provides for the grant of incentive share options, or ISOs, nonstatutory share options, or NSOs, share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awards, restricted share unit awards, performance-based share awards, and other forms of equity compensation, which we refer to collectively as share awards. Additionally, the 2022 Plan provides for the grant of performance cash awards. ISOs may be granted only to employees. All other awards may be granted to employees, including officers, and to non-employee directors and consultants of us and our affiliates.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Initially, the aggregate number of common shares that may be issued pursuant to share awards under the 2022 Plan after the 2022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effective will equal 21% of our outstanding common shares on a fully diluted basis. Additionally, the number of common shares reserved for issuance under our 2022 Plan will be increased on January 1 of each year, beginning on January 1, 2023 and continuing through and including January 1, 2032, by a number of common shares equal to 4.00% of the total number of shares of our common shares outstanding on a fully diluted basis on December 31 of the preceding calendar year or such smaller number of common shares as determined by our board of directors.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Reversion of Shares. </w:t>
      </w:r>
      <w:r>
        <w:rPr>
          <w:rFonts w:ascii="Times New Roman" w:cs="Times New Roman" w:eastAsia="Times New Roman" w:hAnsi="Times New Roman"/>
          <w:sz w:val="18"/>
          <w:szCs w:val="18"/>
          <w:color w:val="auto"/>
        </w:rPr>
        <w:t>If a share award granted under the 2022 Plan expires or otherwise terminates without being exercised in full, or is settled in cash,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not acquired pursuant to the share award again will become available for subsequent issuance under the 2022 Plan. In addition, the following types of shares under the 2022 Plan may become available for the grant of new share awards under the 2022 Plan: (1) common shares that are forfeited to or repurchased by us prior to becoming fully vested; (2) common shares withheld or reacquired to satisfy income or employment withholding taxes; or (3) common shares used to pay the exercise or purchase price of a share award. Shares issued under the 2022 Plan may be previously unissued shares or reacquired shares bought by us on the open market. As of the date hereof, no awards have been granted and no common shares have been issued under the 2022 Plan.</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Non-Employee Director Compensation Limit. </w:t>
      </w:r>
      <w:r>
        <w:rPr>
          <w:rFonts w:ascii="Times New Roman" w:cs="Times New Roman" w:eastAsia="Times New Roman" w:hAnsi="Times New Roman"/>
          <w:sz w:val="18"/>
          <w:szCs w:val="18"/>
          <w:color w:val="auto"/>
        </w:rPr>
        <w:t>Under the 2022 Plan, the maximum number of common shares subject to share awards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Plan or otherwise during any one calendar year to any of our non-employee directors, taken together with any cash fees paid by us to such non-employee director during such calendar year for services on the board of directors, will not exceed $1,000,000 in total value (calculating the value of any such share awards based on the grant date fair value of such share awards for financial reporting purposes); provided, however, that (i) this limit will equal $1,500,000 with respect to the calendar year during which a non-employee director is newly appointed as a member of the board of directors (including with respect to the 2022 calendar year); and (ii) the independent members of the board 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00"/>
          </w:cols>
          <w:pgMar w:left="320" w:top="1251" w:right="379" w:bottom="1440" w:gutter="0" w:footer="0" w:header="0"/>
        </w:sectPr>
      </w:pPr>
    </w:p>
    <w:bookmarkStart w:id="165" w:name="page166"/>
    <w:bookmarkEnd w:id="165"/>
    <w:p>
      <w:pPr>
        <w:ind w:right="400"/>
        <w:spacing w:after="0" w:line="282" w:lineRule="auto"/>
        <w:rPr>
          <w:sz w:val="20"/>
          <w:szCs w:val="20"/>
          <w:color w:val="auto"/>
        </w:rPr>
      </w:pPr>
      <w:r>
        <w:rPr>
          <w:rFonts w:ascii="Times New Roman" w:cs="Times New Roman" w:eastAsia="Times New Roman" w:hAnsi="Times New Roman"/>
          <w:sz w:val="18"/>
          <w:szCs w:val="18"/>
          <w:color w:val="auto"/>
        </w:rPr>
        <w:t>directors may make exceptions to this limit for a member participating in a special committee, provided that the non-employee director receiving such additional compensation may not participate in the decision to award such compensation.</w:t>
      </w:r>
    </w:p>
    <w:p>
      <w:pPr>
        <w:spacing w:after="0" w:line="10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board of directors, or a duly authorized committee thereof, has the authority to administer the 2022 Plan. Our board of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delegate to one or more of our officers the authority to (1) designate employees (other than other officers) to be recipients of certain awards, and (2) determine the number of common shares to be subject to such awards. Subject to the terms of the 2022 Plan, our board of directors or the authorized committee, referred to herein as the plan administrator, determines recipients, dates of grant, the numbers and types of awards to be granted and the terms and conditions of the awards, including the period of their exercisability and vesting schedule applicable to an award. Subject to the limitations set forth below, the plan administrator will also determine the exercise price, strike price or purchase price of awards granted and the types of consideration to be paid for the award.</w:t>
      </w:r>
    </w:p>
    <w:p>
      <w:pPr>
        <w:spacing w:after="0" w:line="1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plan administrator has the authority to modify outstanding awards under our 2022 Plan. Subject to the terms of our 2022 Plan, the plan administrator has the authority to reduce the exercise, purchase or strike price of any outstanding share award, cancel any outstanding share award in exchange for new share awards, cash or other consideration, or take any other action that is treated as a repricing under generally accepted accounting principles, with the consent of any adversely affected participant.</w:t>
      </w:r>
    </w:p>
    <w:p>
      <w:pPr>
        <w:spacing w:after="0" w:line="12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ISOs and NSOs are granted pursuant to share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a share option, within the terms and conditions of the 2022 Plan, provided that the exercise price of a share option generally cannot be less than 100% of the fair market value of our common shares on the date of grant. Options granted under the 2022 Plan vest at the rate specified by the plan administrator.</w:t>
      </w:r>
    </w:p>
    <w:p>
      <w:pPr>
        <w:spacing w:after="0" w:line="12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plan administrator determines the term of share options granted under the 2022 Plan, up to a maximum of 10 years. Unless the terms of an optionholder's share option agreement provide otherwise, if an optionholder's service relationship with us, or any of our affiliates, ceases for any reason other than disability or death, the optionholder may generally exercise any vested options for a period of 3 months following the cessation of service. The option term may be extended in the event that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no event may an option be exercised beyond the expiration of its term.</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Acceptable consideration for the purchase of common shares issued upon the exercise of a share option will be determined by the plan administrator and may include (1) cash, check, bank draft or money order, (2) a broker-assisted cashless exercise, (3) the tender of common shares previously owned by the optionholder, (4) a net exercise of the option if it is an NSO, and (5) other legal consideration approved by the plan administrator.</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Share Options. </w:t>
      </w:r>
      <w:r>
        <w:rPr>
          <w:rFonts w:ascii="Times New Roman" w:cs="Times New Roman" w:eastAsia="Times New Roman" w:hAnsi="Times New Roman"/>
          <w:sz w:val="18"/>
          <w:szCs w:val="18"/>
          <w:color w:val="auto"/>
        </w:rPr>
        <w:t>The aggregate fair market value, determined at the time of grant, of our common shares with respect to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exercisable for the first time by an optionholder during any calendar year under all of our share plans and the share plans of any of our affiliates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2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Awards. </w:t>
      </w:r>
      <w:r>
        <w:rPr>
          <w:rFonts w:ascii="Times New Roman" w:cs="Times New Roman" w:eastAsia="Times New Roman" w:hAnsi="Times New Roman"/>
          <w:sz w:val="18"/>
          <w:szCs w:val="18"/>
          <w:color w:val="auto"/>
        </w:rPr>
        <w:t>Restricted share awards are granted pursuant to restricted share award agreements adopted by the plan administrator.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awards may be granted in consideration for (1) cash, check, bank draft or money order, (2) services rendered to us or our affiliates, or (3) any other form of legal consideration. Common shares acquired under a restricted share award may, but need not, be subject to a share repurchase option in our favor in accordance with a vesting schedule to be determined by the plan administrator. A restricted share award may be transferred only upon such terms and conditions as set by the plan administrator. Except as otherwise provided in the applicable award agreement, restricted shares that have not vested will be forfeited or repurchased by us upon the participant's cessation of continuous service for any reason.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1201" w:right="359" w:bottom="1440" w:gutter="0" w:footer="0" w:header="0"/>
        </w:sectPr>
      </w:pPr>
    </w:p>
    <w:bookmarkStart w:id="166" w:name="page167"/>
    <w:bookmarkEnd w:id="166"/>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Unit Awards. </w:t>
      </w:r>
      <w:r>
        <w:rPr>
          <w:rFonts w:ascii="Times New Roman" w:cs="Times New Roman" w:eastAsia="Times New Roman" w:hAnsi="Times New Roman"/>
          <w:sz w:val="18"/>
          <w:szCs w:val="18"/>
          <w:color w:val="auto"/>
        </w:rPr>
        <w:t>Restricted share unit awards are granted pursuant to restricted share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share unit awards may be granted in consideration for any form of legal consideration.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units that have not vested will be forfeited upon the participant's cessation of continuous service for any reason.</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w:t>
      </w:r>
      <w:r>
        <w:rPr>
          <w:rFonts w:ascii="Times New Roman" w:cs="Times New Roman" w:eastAsia="Times New Roman" w:hAnsi="Times New Roman"/>
          <w:sz w:val="18"/>
          <w:szCs w:val="18"/>
          <w:color w:val="auto"/>
        </w:rPr>
        <w:t>Share appreciation rights are granted pursuant to share appreciation grant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strike price for a share appreciation right, which generally cannot be less than 100% of the fair market value of our common shares on the date of grant. Upon the exercise of a share appreciation right, we will pay the participant an amount equal to the product of (1) the excess of the per share fair market value of our common shares on the date of exercise over the strike price, multiplied by (2) the number of common shares with respect to which the share appreciation right is exercised. A share appreciation right granted under the 2022 Plan vests at the rate specified in the share appreciation right agreement as determined by the plan administrator.</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share appreciation rights granted under the 2022 Plan, up to a maximum of 10 years. Unless the terms of a participant's share appreciation right agreement provides otherwise, if a participant's service relationship with us or any of our affiliates ceases for any reason other than disability or death, the participant may generally exercise any vested share appreciation right for a period of 3 months following the cessation of service. The share appreciation right term may be further extended in the event that exercise of the share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no event may a share appreciation right be exercised beyond the expiration of its term.</w:t>
      </w:r>
    </w:p>
    <w:p>
      <w:pPr>
        <w:spacing w:after="0" w:line="136"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2022 Plan permits the grant of performance-based share and cash awards, the payment of which are contingent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certain performance goals established by our board of directors.</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we will appropriately make adjustments in the method of calculating the attainment of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common shares by reason of any share dividend or split, share repurchase, reorganization, recapitalization, merger, consolidation, spin-off, combination or exchange of shares or other similar corporate change, or any distributions to common shareholders other than regular cash dividends; (i) to exclude the effects of share based compensation and the award of bonuses under our bonus plans; (j) 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(l) to exclude the effect of any other unusual, non-recurring gain or loss or other extraordinary item; and (m) 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13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Share Awards. </w:t>
      </w:r>
      <w:r>
        <w:rPr>
          <w:rFonts w:ascii="Times New Roman" w:cs="Times New Roman" w:eastAsia="Times New Roman" w:hAnsi="Times New Roman"/>
          <w:sz w:val="18"/>
          <w:szCs w:val="18"/>
          <w:color w:val="auto"/>
        </w:rPr>
        <w:t>The plan administrator may grant other awards based in whole or in part by reference to our common shares.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set the number of shares under the share award and all other terms and conditions of such awards.</w:t>
      </w:r>
    </w:p>
    <w:p>
      <w:pPr>
        <w:spacing w:after="0" w:line="104"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is a specified type of change in our capital structure, such as a share split or recapitalization,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will be made to (1) the class and maximum number of shares reserved for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199" w:right="339" w:bottom="1440" w:gutter="0" w:footer="0" w:header="0"/>
        </w:sectPr>
      </w:pPr>
    </w:p>
    <w:bookmarkStart w:id="167" w:name="page168"/>
    <w:bookmarkEnd w:id="167"/>
    <w:p>
      <w:pPr>
        <w:ind w:right="160"/>
        <w:spacing w:after="0" w:line="261" w:lineRule="auto"/>
        <w:rPr>
          <w:sz w:val="20"/>
          <w:szCs w:val="20"/>
          <w:color w:val="auto"/>
        </w:rPr>
      </w:pPr>
      <w:r>
        <w:rPr>
          <w:rFonts w:ascii="Times New Roman" w:cs="Times New Roman" w:eastAsia="Times New Roman" w:hAnsi="Times New Roman"/>
          <w:sz w:val="18"/>
          <w:szCs w:val="18"/>
          <w:color w:val="auto"/>
        </w:rPr>
        <w:t>issuance under the 2022 Plan, (2) the class and maximum number of shares by which the share reserve may increase automatically each year, (3) the class and maximum number of shares that may be issued upon the exercise of ISOs, (4) the class and maximum number of shares subject to share awards that can be granted in a calendar year and (5) the class and number of shares and exercise price, strike price, or purchase price, if applicable, of all outstanding share awards.</w:t>
      </w:r>
    </w:p>
    <w:p>
      <w:pPr>
        <w:spacing w:after="0" w:line="12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specified significant corporate transactions, the plan administrator has the discretion to take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actions with respect to share awards:</w:t>
      </w:r>
    </w:p>
    <w:p>
      <w:pPr>
        <w:spacing w:after="0" w:line="106"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assumption, continuation or substitution of a share award by a surviving or acquiring entity or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us to the surviving or acquiring entity or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the award and provide for its termination prior to the effective time of the corporate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of any reacquisition or repurchase right held by us;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award in exchange for such cash consideration, if any, as our board of directors may deem appropriate; or</w:t>
      </w:r>
    </w:p>
    <w:p>
      <w:pPr>
        <w:spacing w:after="0" w:line="10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equal to the excess of (a) the value of the property the participant would have received upon exercise of the award over (b) the exercise price otherwise payable in connection with the award, provided that the payment may be $0 if the value of the property is equal to or less than the exercise price, and payments may be delayed to the same extent that payment of consideration to the holders of common shares in connection with the corporate transaction is delayed as a result of escrows, earn outs, holdbacks or other contingencies and in compliance with Section 409A.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 administrator is not obligated to treat all awards, even those that are of the same type, in the same manner.</w:t>
      </w:r>
    </w:p>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Under the 2022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common shares outstanding immediately prior to such transaction are converted or exchanged into other property by virtue of the transaction.</w:t>
      </w:r>
    </w:p>
    <w:p>
      <w:pPr>
        <w:spacing w:after="0" w:line="1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Under the 2022 Plan, unless the plan administrator determines otherwise or as otherwise provided in an award agreement,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change in control, then contingent upon the effectiveness of the change in control, all outstanding share-based awards will become fully vested (including the lapsing of all restrictions and conditions) and, as applicable, exercisable and with respect to any share-based award subject to performance-based vesting, all performance goals or other vesting criteria will be deemed achieved at one hundred percent (100%) of target levels. Under the 2022 Plan, a change in control is generally (1) the acquisition by a person or entity of more than 50% of our combined voting power other than by merger, consolidation or similar transaction; (2) a consummated merger, consolidation or similar transaction immediately after which our shareholders cease to own more than 50% of the combined voting power of the surviving entity; (3) a consummated sale, lease or exclusive license or other disposition of all or substantially of our assets; (4) a complete dissolution or liquidation of the Company, except for a liquidation into a parent corporation, or (5) when a majority of our board of directors becomes comprised of individuals who were not serving on our board of directors on the date of adoption of the 2022 Plan, or the incumbent board, or whose nomination, appointment, or election was not approved by a majority of the incumbent board still in office.</w:t>
      </w:r>
    </w:p>
    <w:p>
      <w:pPr>
        <w:spacing w:after="0" w:line="13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has the authority to amend, suspend, or terminate our 2022 Plan, provided that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impair the existing rights of any participant without such participant's written consent. No ISOs may be granted after the 10th anniversary of the date our board of directors adopted our 2022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Share Purchase Plan</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is expected to adopt our 2022 Employee Share Purchase Plan, or ESPP, and we anticipate our shareholders will approve the ESPP, prior to the Distribution. The ESPP will become effective on, and subject to, the later of the date on which the Distribution occurs and the date approved by our shareholders. The purpose of the ESPP is to secure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201" w:right="339" w:bottom="1440" w:gutter="0" w:footer="0" w:header="0"/>
        </w:sectPr>
      </w:pPr>
    </w:p>
    <w:bookmarkStart w:id="168" w:name="page169"/>
    <w:bookmarkEnd w:id="168"/>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ESPP authorizes the issuance of up to 1% of our common shares on a fully diluted basis pursuant to purchase rights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or to employees of any of our designated affiliates. The number of common shares reserved for issuance will automatically increase on January 1 of each calendar year, from January 1, 2023 through January 1, 2032 in an amount equal to 1% of the total number of common shares outstanding on a fully diluted basis on December 31 of the preceding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the date of any such increase, our board of directors may determine that such increase will be less than such amount. As of the date hereof, no common shares have been purchased under the ESPP.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board of directors has delegated concurrent authority to administer the ESPP to our compensation committee. The ESPP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through a series of offerings under which eligible employees are granted purchase rights to purchase common shares on specified dates during such offerings. Under the ESPP, we may specify offerings with durations of not more than 27 months, and may specify shorter purchase periods within each offering. Each offering will have one or more purchase dates on which common shares will be purchased for employees participating in the offering. An offering under the ESPP may be terminated under certain circumstances.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Generally, all regular employees, including executive officers, employed by us or by any of our designated affiliates, may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and may contribute, normally through payroll deductions, between 1% and 15% of their earnings (as defined in the ESPP) for the purchase of our common shares under the ESPP. Unless otherwise determined by our board of directors, common shares will be purchased for the accounts of employees participating in the ESPP at a price per share equal to the lower of (a) 85% of the fair market value of a common share on the first date of an offering or (b) 85% of the fair market value of a common share on the date of purchase.</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Employees may have to satisfy one or more of the following service requirements before participating in the ESPP, as determined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common share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29"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occurs a change in our capital structure through such actions as a stock split,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significant corporate transactions, including: (1) a sale of all or substantially all of our assets, (2)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50% of our outstanding securities, (3) the consummation of a merger or consolidation where we do not survive the transactions and (4) the consummation of a merger or consolidation where we do survive the transaction but the common shares outstanding immediately prior to such transaction are converted or exchanged into other property by virtue of the transaction, any then-outstanding rights to purchase our shares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common shares within 10 business days prior to such corporate transaction, and such purchase rights will terminate immediately.</w:t>
      </w:r>
    </w:p>
    <w:p>
      <w:pPr>
        <w:spacing w:after="0" w:line="12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ESPP Amendments, Termination. </w:t>
      </w:r>
      <w:r>
        <w:rPr>
          <w:rFonts w:ascii="Times New Roman" w:cs="Times New Roman" w:eastAsia="Times New Roman" w:hAnsi="Times New Roman"/>
          <w:sz w:val="18"/>
          <w:szCs w:val="18"/>
          <w:color w:val="auto"/>
        </w:rPr>
        <w:t>Our board of directors has the authority to amend or terminate our ESPP, provided that except in certain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20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 Following the Distribution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we intend to grant each of our executive officers equity-based incentive awards in the form of stock options, restricted share units, or RSUs and/or performance share units, or PSUs, designed to align our executives’ interests with those of our shareholders. Awards of stock options and RSUs are expected to vest in four equal installments, with one-quarter vesting on the date of grant and each remaining one-quarter on the first, second and third anniversary of the date of grant, subject to the grantee’s continued employment through each vesting date. As of the date hereof, the award values for each executive officer have yet not been determined.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Awards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and effective as of the Distribution, each outstanding option (each, a “Pre-Spin RemainCo Option”) to purchase common shares of RemainCo (“RemainCo Common Shares”) will be adjusted so that such Pre-Spin RemainCo Option is an option to acquire SpinCo Common Shares (a “SpinCo Option”) and an option to acquire RemainCo Common Shares (a “Post-Spin RemainCo Option”), and each outstanding restricted stock unit (a “Pre-Spin RemainCo RSU”) will be adjusted so that such restricted stock unit is a restricted stock unit in respect of common shares of SpinCo (a “SpinCo RSU”) and a restricted stock unit in respect of RemainCo Common Shares (a “Post-Spin RemainCo RSU”), in each case as set forth below, except as otherwise expressly provided in the Merger Agreement.</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Post-Spin RemainCo Option will be in respect of the number of shares underlying the applicable Pre-Spin RemainCo Option and at an exercise price of equal to the product, rounded up to the nearest cent, of (A) the exercise price of the applicable Pre-Spin RemainCo Option multiplied by (B) the quotient obtained by dividing (1) the volume-weighted average trading price of a RemainCo Common Share exclusive of the value attributable to SpinCo during the period commencing on the first trading day following the record date for the Distribution through and including the last trading day prior to the effective time of the Distribution (“RemainCo Per Share Value”) by (2) the volume-weighted average trading price of a RemainCo Common Share inclusive of the value attributable to SpinCo during the period commencing on the first trading day following the record date for the Distribution through and including the last trading day prior to the effective time of the Distribution (the “Combined Per Share Value”).</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SpinCo Option will be in respect of a number of SpinCo Common Shares equal to the number of shares underlying the applicable Pre-Spin RemainCo Option multiplied by 0.5 (the “Distribution Ratio”), rounded down to the nearest whole number of shares and at an exercise price equal to the price, rounded up to the nearest cent, determined by dividing (A) the product of (1) the exercise price of the Pre-Spin RemainCo Option multiplied by (2) the quotient obtained by dividing (a) the amount by which (i) the Combined Per Share Value exceeds (ii) the RemainCo Per Share Value by (b) the Combined Per Share Value, by (B) the Distribution Ratio.</w:t>
      </w:r>
    </w:p>
    <w:p>
      <w:pPr>
        <w:spacing w:after="0" w:line="1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Each Post-Spin RemainCo RSU will be in respect of a number of restricted stock units subject to the applicable Pre-Spin RemainCo RSU, with any applicable performance conditions deemed achieved at 100%.</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Each SpinCo RSU will be in respect of a number of restricted stock units equal to (1) the number of shares subject to the applicable Pre-Spin RemainCo RSU, with any applicable performance conditions deemed achieved at 100%, multiplied by (2) the Distribution Ratio, rounded down to the nearest whole number of shares.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each Post-Spin RemainCo Option, Post-Spin RemainCo RSU, SpinCo Option and SpinCo RSU will accelerate and vest in full, except as otherwise expressly provided in the Merger Agreement. SpinCo RSUs will be settled in common shares as soon as practicable following the effective time of the Merger and it is anticipated SpinCo will settle the SpinCo Options into shares of SpinCo common share as soon as practicable following the effective time of the Merger (by reducing the number of SpinCo common shares issued by a number of SpinCo common shares sufficient to satisfy the option exercise price).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SpinCo’s board of directors will adopt the Legacy Equity Award Settlement Plan, or the Legacy Award Plan, and we anticipate our shareholders will approve the Legacy Award Plan, prior to the Distribution. The Legacy Award Plan will become effective as of the date on which the Distribution occurs. The Legacy Award Plan is intended solely to provide for the grant and settlement of the SpinCo Options and SpinCo RSUs issued in respect of Pre-Spin RemainCo Options and Pre-Spin RemainCo RSUs, as described in this section. The aggregate number of SpinCo common shares that may be issued under the Legacy Award Plan will not exceed 4,984,680, which is the number of SpinCo common shares as of September 19, 2022 subject to SpinCo Options and SpinCo RSUs issued in respect of Pre-Spin RemainCo Options and Pre-Spin RemainCo RSUs.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20"/>
          </w:cols>
          <w:pgMar w:left="320" w:top="1197" w:right="359" w:bottom="1440" w:gutter="0" w:footer="0" w:header="0"/>
        </w:sectPr>
      </w:pPr>
    </w:p>
    <w:bookmarkStart w:id="170" w:name="page171"/>
    <w:bookmarkEnd w:id="170"/>
    <w:p>
      <w:pPr>
        <w:ind w:right="220"/>
        <w:spacing w:after="0" w:line="281" w:lineRule="auto"/>
        <w:rPr>
          <w:sz w:val="20"/>
          <w:szCs w:val="20"/>
          <w:color w:val="auto"/>
        </w:rPr>
      </w:pPr>
      <w:r>
        <w:rPr>
          <w:rFonts w:ascii="Times New Roman" w:cs="Times New Roman" w:eastAsia="Times New Roman" w:hAnsi="Times New Roman"/>
          <w:sz w:val="17"/>
          <w:szCs w:val="17"/>
          <w:color w:val="auto"/>
        </w:rPr>
        <w:t>SpinCo’s board of directors may suspend or terminate the Legacy Award Plan at any time, and the Legacy Award Plan will automatically terminate following the settlement of SpinCo Options and SpinCo RSUs in respect of Pre-Spin RemainCo Options and Pre-Spin RemainCo RSUs into common shares as described above. Except as described here, the Legacy Award Plan has the same terms and conditions as the Biohaven Pharmaceutical Holding Company Ltd. 2017 Equity Incentive Plan, which are described in RemainCo’s Amendment No. 1 to Form S-1 filed with the SEC on April 24, 2017.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Offer Letters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SpinCo will, or will cause a member of its group, to retain certain employment and individual agreements with SpinCo employees, including the employment agreements entered into between the Company’s wholly owned subsidiary, Biohaven Pharmaceuticals, Inc. and the current and expected executive officers of SpinCo following the Distribution (as disclosed above). In connection with or following the Distribution, SpinCo may amend such agreements. However, as of the date hereof, no such amendments have been determined.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with Dr. Coric</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and its wholly owned subsidiary, Biohaven Pharmaceuticals, Inc., have each entered into an employment agreement with Dr. Coric. The employment agreements with Dr. Coric provide for an initial three-year term of employment, with automatic one-year renewal periods, unless either party provides notice of non-renewal at least 90 days before the renewal date.</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Company’s employment agreement with Dr. Coric, if the Company terminates Dr. Coric’s employment, or if his employment is terminated due to death or disability, he is entitled to a lump-sum severance payment in the amount of $350,000. Further, all stock options held by Dr. Coric will be deemed to be fully vested and exercisable on his termination date, and the exercise period of such stock options will be extended for a period of two years following the termination date (or if earlier, the end of the term of the award). These severance payments are in addition to any severance payments due to Dr. Coric under his agreement with Biohaven Pharmaceuticals, Inc., as described below. In connection with the closing of the Merger and Dr. Coric ceasing to be the Company’s Chief Executive Officer, the Company will pay Dr. Coric $300,000 in full satisfaction of its obligations under Dr. Coric’s employment agreement with the Company, subject to Dr. Coric’s execution of a release of claims. Dr. Coric has agreed to donate the net after tax portion of such severance payments to a charitable organization selected by Dr. Coric.</w:t>
      </w:r>
    </w:p>
    <w:p>
      <w:pPr>
        <w:spacing w:after="0" w:line="1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employment agreement between the Company’s wholly owned subsidiary, Biohaven Pharmaceuticals, Inc., and Dr. Coric, if Dr. Coric’s employment with Biohaven Pharmaceuticals, Inc. is terminated without “Just Cause” (as defined therein), due to death or disability, or if Dr. Coric terminates his employment for “Good Reason” (as defined therein), subject to the execution and non-revocation of a release of claims against Biohaven Pharmaceuticals, Inc., Dr. Coric would receive (i) severance payments in equal monthly installments equal to his current base salary for 15 months following termination (or 18 months in the case of a termination within 12 months following a change in control), (ii) continued health insurance coverage for up to 15 months (or 18 months in case of a termination within 12 months following a change of control), reduced to the extent Dr. Coric receives comparable benefits elsewhere during the period, (iii) continued life insurance coverage for 15 months (or 18 months in the case of a termination within 12 months following a change of control), (iv) full vesting of all stock options, which would remain exercisable for 24 months following termination (or, with respect to a qualifying termination within 12 months following a change in control, with respect to all time-based equity awards, with stock options remaining exercisable for 12 months following termination and any performance awards continuing to be governed by their award agreements) and (v) solely upon a termination without “Just Cause” or for “Good Reason”, within 12 months following a change in control, an amount equal to 1.5 times his target bonus opportunity for the performance year in which the termination occurs, payable in equal installments over 18 months following termination. The closing of the Merger will be a change in control for this purpose.</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Distribution, SpinCo expects to enter into an employment agreement with Dr. Coric (in addition to Dr. Coric’s agreement with Biohaven Pharmaceuticals, Inc.) to replace Dr. Coric’s current employment agreement with the Company. Under SpinCo’s employment agreement with Dr. Coric, he will serve as Chief Executive Officer of SpinCo. As compensation for serving as Chief Executive Officer of SpinCo, Dr. Coric will receive a number of options as determined by the SpinCo board of directors. If the Company terminates Dr. Coric’s employment, or if his employment is terminated due to death or disability, he will be entitled to the same severance and option vesting benefits as he was entitled to pursuant to his employment agreement with the Company, as described above. These severance payments are in addition to any severance payments due to Dr. Coric under his agreement with Biohaven Pharmaceuticals, Inc., as described above. Dr. Coric will also be subject to one-year non-competition and non-solicitation covenants.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201"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i w:val="1"/>
          <w:iCs w:val="1"/>
          <w:color w:val="auto"/>
        </w:rPr>
        <w:t>Employment Agreements with Mr. Buten</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employment agreement between the Company’s wholly owned subsidiary, Biohaven Pharmaceuticals, Inc., and Mr. Buten, if Mr. Buten’s employment with Biohaven Pharmaceuticals, Inc. is terminated without “Just Cause,” due to death or disability, or if he terminates his employment for “Good Reason,” each in the absence of a “Change in Control” (as each is defined therein), subject to the execution and non-revocation of a release of claims against the Company, he is entitled to receive severance payments equal to 1.5 times the sum of the applicable base salary rate in effect plus his target bonus opportunity, payable in equal monthly installments over 18 months, plus he would also be eligible to receive a pro-rata bonus payment for the year in which he is terminated, to be determined and made at the sole discretion of the board, equal to his target bonus opportunity, if any, which would have been awarded to him had he remained employed for the applicable performance period. In addition, upon such termination, Mr. Buten is entitled to continued health and life insurance coverage for the period during which he receives severance payments, reduced, in the case of health benefits, to the extent he receives comparable benefits elsewhere during the period. In addition, under his employment agreement, all stock options and other equity incentive awards granted to Mr. Buten would become fully vested and exercisable upon such termination, and remain exercisable for 24 months following the date of his termination (or, if earlier, the end of the term of the award). Upon termination due to disability, the amount of severance paid to Mr. Buten is reduced by any disability benefits he receives under Biohaven Pharmaceuticals, Inc.’s disability insurance policies.</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his employment agreement, if Mr. Buten’s employment with Biohaven Pharmaceuticals, Inc. is terminated without “Just Cause” or if he terminates his employment for “Good Reason,” each within 12 months following a “Change in Control” (as each is defined therein), subject to the execution and non-revocation of a release of claims against Biohaven Pharmaceuticals, Inc., he will be entitled to receive (i) an amount equal to 1.5 times the sum of his current base salary plus his target bonus opportunity, to be paid in equal installments over 18 months, (ii) a pro-rata bonus payment for the year in which he is terminated, to be determined and made at the sole discretion of the board, equal to his target bonus opportunity, if any, which would have been awarded to him had he remained employed for the applicable performance period, and (iii) payment equal to his target bonus opportunity, to be paid in equal installments over 12 months. In addition, upon such termination, Mr. Buten is entitled to continued health and life insurance coverage during the period during which he receives severance payments, reduced to the extent he receives comparable benefits elsewhere during the severance period. All time-based vesting equity awards held by Mr. Buten as of the date of his termination will be deemed to be fully vested and exercisable on the termination date, and he may exercise such awards for 12 months following the termination date (or if earlier, the end of the term of the award). Performance awards will be governed by the terms of the applicable award agreement. Upon termination due to disability, the amount of severance paid to Mr. Buten is reduced by any disability benefits he receives under Biohaven Pharmaceuticals, Inc.’s disability insurance policies.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Distribution, SpinCo expects to enter into an employment agreement with Mr. Buten (in addition to Mr. Buten’s agreement with Biohaven Pharmaceuticals, Inc.). Under SpinCo’s employment agreement with Mr. Buten, he will serve as Chief Financial Officer of SpinCo. As compensation for serving as Chief Financial Officer of SpinCo, Mr. Buten will receive a number of options as determined by the SpinCo board of directors. If the Company terminates Mr. Buten’s employment, or if his employment is terminated due to death or disability, he will be entitled to a lump-sum severance payment in the amount of $350,000 and all stock options held by Mr. Buten will be deemed to be fully vested and exercisable on his termination date, and the exercise period of such stock options will be extended for a period of two years following the termination date (or if earlier, the end of the term of the award). These severance payments are in addition to any severance payments due to Mr. Buten under his agreement with Biohaven Pharmaceuticals, Inc., as described above. Mr. Buten will also be subject to one-year non-competition and non-solicitation covenants.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Ms. Gentile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employment agreement between the Company’s wholly owned subsidiary, Biohaven Pharmaceuticals, Inc., and Ms. Gentile, if Biohaven Pharmaceuticals, Inc. terminates her employment without “Cause” or if she terminates her employment for “Good Reason,” as each is defined therein, subject to the execution of a release of claims against Biohaven Pharmaceuticals, Inc., she is entitled to an amount equal to six months of her base salary, to be paid consistent with the Company’s normal payroll schedule over six months. Ms. Gentile’s employment agreement does not contain differing severance entitlements before or after a change in control.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with Dr. Stock</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Under the offer letter between the Company’s wholly owned subsidiary, Biohaven Pharmaceuticals, Inc., and Dr. Stock, if Biohaven Pharmaceuticals, Inc. terminates her employment without “Just Cause” as defined therein, or if her workplace 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320" w:top="1199" w:right="359" w:bottom="1440" w:gutter="0" w:footer="0" w:header="0"/>
        </w:sectPr>
      </w:pPr>
    </w:p>
    <w:bookmarkStart w:id="172" w:name="page173"/>
    <w:bookmarkEnd w:id="172"/>
    <w:p>
      <w:pPr>
        <w:ind w:right="240"/>
        <w:spacing w:after="0" w:line="266" w:lineRule="auto"/>
        <w:rPr>
          <w:sz w:val="20"/>
          <w:szCs w:val="20"/>
          <w:color w:val="auto"/>
        </w:rPr>
      </w:pPr>
      <w:r>
        <w:rPr>
          <w:rFonts w:ascii="Times New Roman" w:cs="Times New Roman" w:eastAsia="Times New Roman" w:hAnsi="Times New Roman"/>
          <w:sz w:val="18"/>
          <w:szCs w:val="18"/>
          <w:color w:val="auto"/>
        </w:rPr>
        <w:t>relocated more than 30 miles from her home address without her approval, she is entitled to an amount equal to six months of her base salary. Receipt of severance is not explicitly conditioned on the execution of a release of claims. Dr. Stock’s offer letter does not contain differing severance entitlements before or after a change in control.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Mr. Tilton</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employment agreement between the Company and Mr. Tilton, if the Company terminates Mr. Tilton’s employment or fails to elect him as the Chief Commercial Officer, or upon termination due to death or “Disability” (as defined therein), Mr. Tilton is entitled to an amount equal to $132,500 and all stock options held by him will accelerate and vest as of the date of termination and remain exercisable for two years following such date. Receipt of severance is not explicitly conditioned on the execution of a release of claims. Mr. Tilton’s employment agreement does not contain differing severance entitlements before or after a change in control.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Executive Officer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arrangements for SpinCo’s other anticipated executive officers generally provide for the following primary elements of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annual base salary, (ii) an annual cash incentive opportunity, (iii) eligibility for annual long-term incentive awards, and (iv) severance entitlements.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Detailed information on the compensation arrangements of SpinCo’s named executive officers for 2022 will be provided in SpinCo’s first proxy statement following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adopt the Amended Memorandum and Articles of Association, which will become effective prior to the effectiveness of the registration statement of which this Information Statement forms a part, and which will contain provisions that limit the liability of our directors for monetary damages to the fullest extent permitted by British Virgin Islands law.</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Amended Memorandum and Articles of Association are expected to provide that we will indemnify, to the fullest extent permitted by law, any person who is or was a party or is threatened to be made a party to any action, suit or proceeding by reason of the fact that he is or was one of our directors or officers or is or was serving at our request as a director or officer of another corporation, partnership, joint venture, trust, or other enterprise. The Amended Memorandum and Articles of Association are also expected to provide that we may indemnify to the fullest extent permitted by law any person who is or was a party or is threatened to be made a party to any action, suit, or proceeding by reason of the fact that he is or was one of our employees or agents or is or was serving at our request as an employee or agent of another corporation, partnership, joint venture, trust, or other enterprise. Our Amended Memorandum and Articles of Association will also provide that we must advance expenses incurred by or on behalf of a director or officer in advance of the final disposition of any action or proceeding, subject to very limited exceptions.</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prior to the Distribution, we expect to enter into indemnification agreements with each of our directors and executive officers that may be broader than the specific indemnification provisions contained under British Virgin Islands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Memorandum and Articles of Association and in indemnification agreements that we enter into with our directors and executive officers may discourage shareholders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shareholders. Further, a shareholder’s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1201" w:right="359" w:bottom="1440" w:gutter="0" w:footer="0" w:header="0"/>
        </w:sectPr>
      </w:pPr>
    </w:p>
    <w:bookmarkStart w:id="173" w:name="page174"/>
    <w:bookmarkEnd w:id="173"/>
    <w:p>
      <w:pPr>
        <w:spacing w:after="0" w:line="282" w:lineRule="auto"/>
        <w:rPr>
          <w:sz w:val="20"/>
          <w:szCs w:val="20"/>
          <w:color w:val="auto"/>
        </w:rPr>
      </w:pPr>
      <w:r>
        <w:rPr>
          <w:rFonts w:ascii="Times New Roman" w:cs="Times New Roman" w:eastAsia="Times New Roman" w:hAnsi="Times New Roman"/>
          <w:sz w:val="18"/>
          <w:szCs w:val="18"/>
          <w:color w:val="auto"/>
        </w:rPr>
        <w:t>employee or agent of another corporation, partnership, joint venture, trust or other enterprise, for which indemnification is sought, and we are not aware of any threatened litigation that may result in claims for indemnification.</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our common shares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1201" w:right="43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Related-Person Transaction Policy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Prior to the Distribution, we expect to adopt a related person transaction policy that sets forth our procedures for the identification, review, consideration and approval or ratification of related person transactions. The policy will become effective immediately upon the completion of the Distribution.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which we expect to and which will become effective as of the Distribution date,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spacing w:after="0" w:line="136"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171" w:lineRule="exact"/>
        <w:rPr>
          <w:sz w:val="20"/>
          <w:szCs w:val="20"/>
          <w:color w:val="auto"/>
        </w:rPr>
      </w:pPr>
    </w:p>
    <w:p>
      <w:pPr>
        <w:jc w:val="both"/>
        <w:ind w:right="80"/>
        <w:spacing w:after="0" w:line="229" w:lineRule="exact"/>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faith exercise of its discretion.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Party Transactions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Except as described below, there have been no transactions since January 1, 2021 in which we have been a participant in which the amount involved exceeded or will exceed $120,000, and in which any of our directors, executive officers or holders of more than 5% of our share capital post-Distribution, or any members of their immediate family, had or will have a direct or indirect material interest, other than the compensation arrangements referenced in the Distribution Agreement and contemplated by the Transition Services Agreement, as described under “The Separation and Distribution”, and the compensation arrangements described under “Executive Compensation” and “Director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of this information statement entitled “The Distribution Agreement” above for a description of the Distribution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Prior to the Distribution, we will enter into the Transition Services Agreement, pursuant to which we will provide certain transition services to RemainCo and RemainCo will provide certain transition services to 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251" w:right="339" w:bottom="1440" w:gutter="0" w:footer="0" w:header="0"/>
        </w:sectPr>
      </w:pPr>
    </w:p>
    <w:bookmarkStart w:id="175" w:name="page176"/>
    <w:bookmarkEnd w:id="175"/>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Memorandum and Articles of Association will contain provisions limiting the liability of directors and providing that we will indemnify each of our directors to the fullest extent permitted under the BVI Act. Our Amended Memorandum and Articles of Association will also provide our board of directors with discretion to indemnify our officers and employees when determined appropriate by the board.</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we intend to enter into indemnification agreements with each of our directors and executive officers. For more information regarding these agreements, see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1440" w:right="359" w:bottom="1440" w:gutter="0" w:footer="0" w:header="0"/>
        </w:sectPr>
      </w:pPr>
    </w:p>
    <w:bookmarkStart w:id="176" w:name="page177"/>
    <w:bookmarkEnd w:id="176"/>
    <w:p>
      <w:pPr>
        <w:ind w:left="436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shares that will be owned following the Distribution time for:</w:t>
      </w:r>
    </w:p>
    <w:p>
      <w:pPr>
        <w:spacing w:after="0" w:line="171"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below is based on ownership of RemainCo common shares, RSUs, and PSUs as of September 19, 2022 and assumes a distribution ratio of one common share of the Company for every two common shares of RemainCo.</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Biohaven Pharmaceutical Holding Company Ltd., 215 Church Street, New Haven, CT 06510.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203"/>
        </w:trPr>
        <w:tc>
          <w:tcPr>
            <w:tcW w:w="822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Beneficially Owned </w:t>
            </w:r>
            <w:r>
              <w:rPr>
                <w:rFonts w:ascii="Times New Roman" w:cs="Times New Roman" w:eastAsia="Times New Roman" w:hAnsi="Times New Roman"/>
                <w:sz w:val="18"/>
                <w:szCs w:val="18"/>
                <w:b w:val="1"/>
                <w:bCs w:val="1"/>
                <w:color w:val="auto"/>
                <w:vertAlign w:val="superscript"/>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Shareholders:</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2,317,640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Vlad Coric, M.D.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514,445</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Matthew Buten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21,838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Kimberly Gentile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17,951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Elyse Stock, M.D.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21,763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John Tilton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6,528</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Michael T. Heffernan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Gregory H. Bailey, M.D.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1,291,829</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Robert J. Hugin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John W. Childs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1,517,500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Julia P. Gregory</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Kishan Mehta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6,257</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Irina Antonijevic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(12 persons)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3,405,468</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0" w:hanging="332"/>
        <w:spacing w:after="0" w:line="258"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shares of SpinCo common shares that may be issued upon exercise of SpinCo option awards that will be converted from RemainCo option awards in connection with the distribution, as the conversion ratio is not currently calculable and such shares will not affect the beneficial ownership of our directors and named executive officers at the time of the distribution unless the option awards are exercised prior to the record date of the distribution. Based on ownership amounts as of September 19, 2022, the number of SpinCo option awards that will be held by each person immediately following the Distribution is as follows: (i) Vlad Coric, M.D., 586,249; (ii) Matthew Buten, 13,000; (iii) Kimberly Gentile, 115,510; (iv) Elyse Stock, M.D., 87,893, including 9,250 that will be owned by her spouse following the Distribution; (v) John Tilton, 60,015; (vi) Michael T. Heffernan, 23,217; (vii) Gregory H. Bailey, M.D., 28,117; (viii) Robert J. Hugin, 19,591; (ix) John W. Childs, 10,117; (x) Julia P. Gregory, 28,117; (xi) Kishan Mehta, 28,121; (xii) Irina Antonijevic, 0. It is anticipated that SpinCo option awards will be settled into shares of SpinCo common shares as soon as practicable following the effective time of the Merger (by reducing the number of SpinCo common shares issued by a number of SpinCo common shares sufficient to satisfy the option exercise price).</w:t>
      </w:r>
    </w:p>
    <w:p>
      <w:pPr>
        <w:spacing w:after="0" w:line="2" w:lineRule="exact"/>
        <w:rPr>
          <w:rFonts w:ascii="Times New Roman" w:cs="Times New Roman" w:eastAsia="Times New Roman" w:hAnsi="Times New Roman"/>
          <w:sz w:val="14"/>
          <w:szCs w:val="14"/>
          <w:color w:val="auto"/>
        </w:rPr>
      </w:pPr>
    </w:p>
    <w:p>
      <w:pPr>
        <w:jc w:val="both"/>
        <w:ind w:left="340" w:right="540" w:hanging="332"/>
        <w:spacing w:after="0" w:line="262"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and the following information were provided by BlackRock, Inc. ("BlackRock") pursuant to a Schedule G filed with the SEC on February 3, 2022 in respect of BlackRock’s ownership of RemainCo common shares. BlackRock reported that it had sole voting power and sole dispositive power over 4,635,280 RemainCo common shares. The principal business address of BlackRock, Inc. is 55 East 52nd Street, New York, NY 10055.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251" w:right="339" w:bottom="1440" w:gutter="0" w:footer="0" w:header="0"/>
        </w:sectPr>
      </w:pPr>
    </w:p>
    <w:bookmarkStart w:id="177" w:name="page178"/>
    <w:bookmarkEnd w:id="1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or the availability for sale of substantial amounts of our common shares in the public market could adversely affect the prevailing market price for such shares. Upon completion of the Distribution, we will have outstanding an aggregate of approximately 36.6 million common shares based upon the number of RemainCo common shares, RSUs, and PSUs outstanding on June 30, 2022, excluding treasury shares and assuming no exercise of outstanding options and warrants, and the distribution ratio of one common share of SpinCo for every two common shares of RemainCo. All of the common shares will be freely tradable without restriction or further registration under the Securities Act unless the shares are owned by our “affiliates” as that term is defined in the rules under the Securities Act. Shares held by “affiliates” may be sold in the public market only if registered or if they qualify for an exemption from registration or in compliance with Rule 144 under the Securities Act (“Rule 144”) which is summarized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an affiliate would be entitled to sell within any three-month period a number of our common shares that does not exceed the greater of:</w:t>
      </w:r>
    </w:p>
    <w:p>
      <w:pPr>
        <w:spacing w:after="0" w:line="108"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our common shares then outstanding;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shares on NYSE during the four calendar weeks preceding the filing of a notice of Form 144 with respect to such sale.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Sales under Rule 144 are also subject to certain holding period requirements,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20"/>
          </w:cols>
          <w:pgMar w:left="320" w:top="1251" w:right="35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Amended Memorandum and Articles of Association to be in effect following the Distribution. Reference is made to the more detailed provisions of, and the descriptions are qualified in their entirety by reference to, the Amended Memorandum and Articles of Association. Please note that this summary is not intended to be exhaustive. For further information, please refer to the full version of our Amended Memorandum and Articles of Association which is included as an exhibit to the registration statement of which this information statement is part.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BVI business company limited by shares incorporated in the British Virgin Islands on May 2, 2022, and our affairs will be governed by the provisions of an Amended Memorandum and Articles of Association, which will become effective prior to the effectiveness of the registration statement of which this Information Statement forms a part, and by the BVI Business Companies Act 2004 (as revised) (the “BVI Act”), (each as amended or modified from time to time)</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provided in our Amended Memorandum and Articles of Association, subject to the BVI Act, we have full capacity to carry on or undertake any business or activity, do any act or enter into any transaction, and, for such purposes, full rights, powers and privileges. Our registered office is c/o Maples Corporate Services (BVI) Limited, P.O. Box 173, Road Town, Tortola, British Virgin Islands.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the completion of the Distribution, our Amended Memorandum and Articles of Association will authorize us to issue up to 200,000,000 common shares, no par value, and up to 10,000,000 preferred shares, no par value (each, the “Preferred Share”). Our board of directors may establish the rights and preferences of the Preferred Shares from time to time. As of June 30, 2022, after giving effect to the distribution ratio of one common share of SpinCo for every two common shares of RemainCo and based on the 71.1 million common shares and 2.0 million RSUs and PSUs of RemainCo outstanding, we would have 36.6 million common shares issued and outstanding and no Preferred Shares in issue. Pursuant to the Distribution Agreement, this amount does not include common shares issuable upon exercise of RemainCo options and warrants.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Memorandum and Articles of Association and the BVI Act insofar as they relate to the material terms of our common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73"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maximum number of shares we will be authorized to issue will be 210,000,000 divided into 200,000,000 common shares, with no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and 10,000,000 Preferred Shares. Holders of common shares will have the same rights. All of our outstanding common shares are fully paid and non-assessable.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Memorandum and Articles of Association do not provide for pre-emptive rights.</w:t>
      </w:r>
    </w:p>
    <w:p>
      <w:pPr>
        <w:spacing w:after="0" w:line="16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common shares are entitled to an equal share of such dividends, as may be declared by our board of directors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BVI Act. Our Amended Memorandum and Articles of Association provide that dividends may be declared and paid at such time, and in such an amount, as the directors determine subject to their being satisfied that the Company will meet the statutory solvency test immediately after the dividend.</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In respect of all matters subject to a shareholders’ vote, each common share is entitled to one vote for each common share registered in his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 name on our register of shareholders. Holders of common shares shall at all times vote together on all resolutions submitted to a vote of the shareholders. Voting at any meeting of shareholders is by show of hands unless a poll is demanded. A poll may be demanded by the chairperson of such meeting or any one shareholder.</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at least 50% of the votes of the shares entitled to vote present in person or by proxy at the meeting or, if a corporation or other non-natural person, by its duly authorized representative. Shareholders’ meetings may be held annually. Each general meeting, other than an annual general meeting, shall be an extraordinary general meeting. Directors may call general meetings, and they shall on a shareholders' requisition forthwith proceed to convene an extraordinary general meeting of the Company. Extraordinary general meetings of the shareholders of the Company may be called, for any purpose as is a proper matter for shareholder action under applicable BVI law, by (i) the Chairperson of the board of Directors, (ii) the Chief Executive Officer, (iii) the Directors pursuant to 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20"/>
          </w:cols>
          <w:pgMar w:left="320" w:top="1251" w:right="359" w:bottom="1440" w:gutter="0" w:footer="0" w:header="0"/>
        </w:sectPr>
      </w:pPr>
    </w:p>
    <w:bookmarkStart w:id="179" w:name="page180"/>
    <w:bookmarkEnd w:id="179"/>
    <w:p>
      <w:pPr>
        <w:ind w:right="40"/>
        <w:spacing w:after="0" w:line="289" w:lineRule="auto"/>
        <w:rPr>
          <w:sz w:val="20"/>
          <w:szCs w:val="20"/>
          <w:color w:val="auto"/>
        </w:rPr>
      </w:pPr>
      <w:r>
        <w:rPr>
          <w:rFonts w:ascii="Times New Roman" w:cs="Times New Roman" w:eastAsia="Times New Roman" w:hAnsi="Times New Roman"/>
          <w:sz w:val="17"/>
          <w:szCs w:val="17"/>
          <w:color w:val="auto"/>
        </w:rPr>
        <w:t>resolution of directors or (iv) by shareholders holding not less than 10% of the votes of the outstanding voting shares entitled to vote at the meeting. The Directors shall determine the time and place, if any, of such general meeting. Advance notice of at least 10 days is required for the convening of our annual general meeting and other general meetings unless such notice is waived in accordance with our Amended Memorandum and Articles of Association.</w:t>
      </w:r>
    </w:p>
    <w:p>
      <w:pPr>
        <w:spacing w:after="0" w:line="10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Appointment and Removal of Directors</w:t>
      </w:r>
      <w:r>
        <w:rPr>
          <w:rFonts w:ascii="Times New Roman" w:cs="Times New Roman" w:eastAsia="Times New Roman" w:hAnsi="Times New Roman"/>
          <w:sz w:val="18"/>
          <w:szCs w:val="18"/>
          <w:color w:val="auto"/>
        </w:rPr>
        <w:t>. In accordance with our Amended Memorandum and Articles of Association, any director may be appointed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of shareholders and may be removed, with cause, by the affirmative vote of at least sixty-six and two-thirds percent (66 2/3%) of the votes of the common shares entitled to vote.</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Transfer of Common Shares</w:t>
      </w:r>
      <w:r>
        <w:rPr>
          <w:rFonts w:ascii="Times New Roman" w:cs="Times New Roman" w:eastAsia="Times New Roman" w:hAnsi="Times New Roman"/>
          <w:sz w:val="18"/>
          <w:szCs w:val="18"/>
          <w:color w:val="auto"/>
        </w:rPr>
        <w:t>. Under the BVI Act shares that are listed on a recognized exchange may be transferred without the need for a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of transfer if the transfer is carried out in accordance with the laws, rules, procedures and other requirements applicable to shares listed on the recognized exchange and subject to the Company’s memorandum and articles of association.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our Amended Memorandum and Articles of Association, our board of directors may refuse or delay the registration of a transfer of shares where it reasonably determines that it is in the best interest of the Company to do so. Without limiting the generality of the foregoing, our board of directors may refuse or delay the registration of a transfer of shares if the transferor has failed to pay an amount due in respect of those shares. Where our board of directors passes a resolution to refuse or delay the registration of a transfer, the Company shall, as soon as practicable, send the transferor and the transferee a notice of the refusal or delay.</w:t>
      </w:r>
    </w:p>
    <w:p>
      <w:pPr>
        <w:spacing w:after="0" w:line="12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liquidation or winding up of the Company assets available for distribution among the holders of common shares shall be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holders of the common shares on a pro rata basis.</w:t>
      </w:r>
    </w:p>
    <w:p>
      <w:pPr>
        <w:spacing w:after="0" w:line="10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Calls on Common Shares and Forfeiture of Common Shares</w:t>
      </w:r>
      <w:r>
        <w:rPr>
          <w:rFonts w:ascii="Times New Roman" w:cs="Times New Roman" w:eastAsia="Times New Roman" w:hAnsi="Times New Roman"/>
          <w:sz w:val="18"/>
          <w:szCs w:val="18"/>
          <w:color w:val="auto"/>
        </w:rPr>
        <w:t>. Our board of directors may from time to time make calls upon shareholders for any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unpaid on their common shares in a notice served to such shareholders at least 14 clear days prior to the specified time of payment. The common shares that have been called upon and remain unpaid are subject to forfeiture.</w:t>
      </w:r>
    </w:p>
    <w:p>
      <w:pPr>
        <w:spacing w:after="0" w:line="11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Redemption of Common Shares</w:t>
      </w:r>
      <w:r>
        <w:rPr>
          <w:rFonts w:ascii="Times New Roman" w:cs="Times New Roman" w:eastAsia="Times New Roman" w:hAnsi="Times New Roman"/>
          <w:sz w:val="18"/>
          <w:szCs w:val="18"/>
          <w:color w:val="auto"/>
        </w:rPr>
        <w:t>. The BVI Act and our Amended Memorandum and Articles of Association permit us to purchase our own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written consent of the relevant shareholders, on such terms and in such manner as may be determined by our board of directors and by a resolution of directors and in accordance with the BVI Act.</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Other than with respect to the issuance of the Preferred Shares in accordance with our Amended Memorandum and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issuance of further shares ranking pari passu with or superior to such existing class of shares.</w:t>
      </w:r>
    </w:p>
    <w:p>
      <w:pPr>
        <w:spacing w:after="0" w:line="1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Amended Memorandum of Association authorizes our board of directors to issue additional common shares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as our board of directors shall determine. However, under British Virgin Islands law, our directors may only exercise the rights and powers granted to them under our Amended Memorandum and Articles of Association for a proper purpose and for what they believe in good faith to be in the best interests of our Company.</w:t>
      </w:r>
    </w:p>
    <w:p>
      <w:pPr>
        <w:spacing w:after="0" w:line="12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A shareholder of the Company is entitled, on giving written notice to the Company, to inspect (a) the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of the Company; (b) the register of shareholders; (c) the register of directors; and (d) the minutes of meetings and resolutions of shareholders and of those classes of shareholders of which he is a shareholder; and to make copies of or take extracts from the documents and records. Subject to the Amended Memorandum and Articles of Association, the directors may, if they are satisfied that it would be contrary to the Company’s interests to allow a shareholder to inspect any document, or part of a document, specified in (b), (c) and (d) above, refuse to permit the shareholder to inspect the document or limit the inspection of the document, including limiting the making of copies or the taking of extracts from the records.</w:t>
      </w:r>
    </w:p>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Where a company fails or refuses to permit a shareholder to inspect a document or permits a shareholder to inspect a document subject to limitations, that shareholder may apply to the BVI High Court for an order that he should be permitted to inspect the document or to inspect the document without limitation.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20"/>
          </w:cols>
          <w:pgMar w:left="320" w:top="1201" w:right="359" w:bottom="1440" w:gutter="0" w:footer="0" w:header="0"/>
        </w:sectPr>
      </w:pPr>
    </w:p>
    <w:bookmarkStart w:id="180" w:name="page181"/>
    <w:bookmarkEnd w:id="180"/>
    <w:p>
      <w:pPr>
        <w:ind w:right="80"/>
        <w:spacing w:after="0" w:line="266" w:lineRule="auto"/>
        <w:rPr>
          <w:sz w:val="20"/>
          <w:szCs w:val="20"/>
          <w:color w:val="auto"/>
        </w:rPr>
      </w:pPr>
      <w:r>
        <w:rPr>
          <w:rFonts w:ascii="Times New Roman" w:cs="Times New Roman" w:eastAsia="Times New Roman" w:hAnsi="Times New Roman"/>
          <w:sz w:val="18"/>
          <w:szCs w:val="18"/>
          <w:color w:val="auto"/>
        </w:rPr>
        <w:t>A company is required to keep at the office of its registered agent: its memorandum and articles of association of the company; the register of shareholders or a copy of the register of shareholders; the register of directors or a copy of the register of directors; and copies of all notices and other documents filed by the company in the previous ten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Memorandum and Articles of Association will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common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Right to Own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own our common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Shareholder Ownership</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are no provisions in the Amended Memorandum and Articles of Association governing the ownership threshold above which shareholder ownership must be disclosed.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BVI Act, and the other laws of the British Virgin Islands, or the BVI, affecting BVI business companies like us and our shareholders differ from laws applicable to U.S. Delaware corporations and their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provisions of our Amended Memorandum and Articles of Association may discourage, delay or prevent a change of control of our company or management that shareholders may consider favorable, including provisions that:</w:t>
      </w:r>
    </w:p>
    <w:p>
      <w:pPr>
        <w:spacing w:after="0" w:line="108"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shareholders of the board are elected at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shareholders can remove directors from the board;</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shareholder proposals that can be acted on at shareholder meetings and nominations to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shareholder actions must be effected at a duly called shareholder meeting and prohibit actions by our shareholders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preference shares without any further vote or action by our shareholders without shareholder approval, which could be used to institute a shareholder rights plan, or so-called “poison pill,” that would work to dilute the stock ownership of a potential hostile acquirer, effectively preventing acquisitions that have not been approved by our board of directors.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our Amended Memorandum and Articles of Association for a proper purpose and for what they believe in good faith to be in the best interests of our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20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Costs of Claim</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our Amended Memorandum and Articles of Association, in the event that (i) any Member or prior Member (“Claiming Party”) initiates or asserts any claim or counterclaim (“Claim”) or joins, offers substantial assistance to or has a direct financial interest in any Claim against the Company or its subsidiaries, directors or Members (including any Claim purportedly filed on behalf of the Company or any Member), and (ii) the Claiming Party (or the third party that received substantial assistance from the Claiming Party or in whose Claim the Claiming Party had a direct financial interest) does not obtain a judgment on the merits that substantially achieves, in substance and amount, the full remedy sought, then each Claiming Party shall be obligated, jointly and severally, to reimburse the Company and any such Member or Members for all fees, costs and expenses of every kind and description (including, but not limited to, all reasonable attorneys’ fees and other litigation expenses) that the parties may incur in connection with such Claim.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 Corporate Law</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BVI Act, and the other laws of the British Virgin Islands, or the BVI, affecting BVI business companies like us and our shareholders differ from laws applicable to U.S. Delaware corporations and their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BVI Act two or more BVI companies or a BVI company and non-BVI company, each a “constituent company”, may merge or consolidate. The BVI Act provides for slightly different procedures depending on the nature of the parties to the merger.</w:t>
      </w:r>
    </w:p>
    <w:p>
      <w:pPr>
        <w:spacing w:after="0" w:line="10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 merger involves the merging of two or more companies into one of the constituent companies (to the merger) with one constituent company continuing in existence to become the surviving company post-merger. A consolidation involves two or more companies consolidating into a new company.</w:t>
      </w:r>
    </w:p>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merger is effective on the date that the articles of merger (as described below) are registered by the Registrar of Corporate Affairs in the BVI, or on such later date, not exceeding 30 days from the date of registration as is stated in the articles of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soon as a merger becomes effective:</w:t>
      </w:r>
    </w:p>
    <w:p>
      <w:pPr>
        <w:spacing w:after="0" w:line="171" w:lineRule="exact"/>
        <w:rPr>
          <w:sz w:val="20"/>
          <w:szCs w:val="20"/>
          <w:color w:val="auto"/>
        </w:rPr>
      </w:pPr>
    </w:p>
    <w:p>
      <w:pPr>
        <w:ind w:left="660" w:right="200" w:hanging="328"/>
        <w:spacing w:after="0" w:line="282" w:lineRule="auto"/>
        <w:tabs>
          <w:tab w:leader="none" w:pos="6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(so far as is consistent with its memorandum and articles, as amended by the articles of merger) has all rights, privileges, immunities, powers, objects and purposes of each of the constituent companies;</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of the surviving company are automatically amended to the extent, if any, that changes to its memorandum and articles are contained in the articles of merger;</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of every description, including choses in action and the business of each of the constituent companies, immediately vest in the surviving company;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is liable for all claims, debts, liabilities and obligations of each of the constituent companies;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conviction, judgment, ruling, order, claim, debt, liability or obligation due or to become due, and no cause existing, against a constituent company or against any shareholder, director, officer or agent thereof, is released or impaired by the merger;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whether civil or criminal, pending at the time of a merger by or against a constituent company, or against any shareholder, director or officer, or agent thereof, are abated or discontinued by the merger; but</w:t>
      </w:r>
    </w:p>
    <w:p>
      <w:pPr>
        <w:spacing w:after="0" w:line="107"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6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may be enforced, prosecuted, settled or compromised by or against the surviving company or against the shareholder, director, officer or agent thereof, as the case may be; or</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may be substituted in the proceedings for a constituent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registrar shall strike off the Register of Companies a constituent company that is not the surviving company in the merger.</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BVI Act provides that any shareholder of the Company is entitled to payment of the fair value of his shares upon dissenting from a merger, unless the Company is the surviving company of the merger and the shareholder continues to hold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20"/>
          </w:cols>
          <w:pgMar w:left="320" w:top="1197"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the same or similar shares. The following is a summary of the position in respect of dissenters’ rights in the event of a merger under the BVI Act.</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dissenter is in most circumstances required to give to the Company written objection to the merger, which must include a statement that the dissenter proposes to demand payment for his shares if the merger takes place. This written objection must be given before the meeting of shareholders at which the merger is submitted to a vote, or at the meeting but before the vote. However, no objection is required from a shareholder to whom the Company did not give notice of the meeting of shareholders or where the proposed merger is authorized by written consent of the shareholders without a meeting.</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Within 20 days immediately following the written consent, or the meeting at which the merger was approved, the Company shall give written notice of the consent or resolution to each shareholder who gave written objection or from whom written objection was not required, except those shareholders who voted for, or consented in writing to, the proposed merger.</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shareholder to whom the Company was required to give notice who elects to dissent shall, within 20 days immediately following the date on which the copy of the plan of merger or an outline of the merger is given to him, give to the Company a written notice of his decision to elect to dissent, stating:</w:t>
      </w:r>
    </w:p>
    <w:p>
      <w:pPr>
        <w:spacing w:after="0" w:line="108" w:lineRule="exact"/>
        <w:rPr>
          <w:sz w:val="20"/>
          <w:szCs w:val="20"/>
          <w:color w:val="auto"/>
        </w:rPr>
      </w:pPr>
    </w:p>
    <w:p>
      <w:pPr>
        <w:ind w:left="640" w:hanging="308"/>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name and address;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classes of shares in respect of which he dissents (which must be all shares that he holds in the Company);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payment of the fair value of his shares.</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Upon the giving of a notice of election to dissent, the dissenter ceases to have any of the rights of a shareholder except the right to be paid the fair value of his shares, and the right to institute proceedings to obtain relief on the ground that the action is illegal.</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shall make a written offer to each dissenter to purchase his shares at a specified price that the Company determines to be their fair value. Such offer must be given within 7 days immediately following the date of the expiration of the period within which shareholders may give their notices of election to dissent, or within 7 days immediately following the date on which the merger is put into effect, whichever is later.</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the Company and the dissenter fail, within 30 days immediately following the date on which the offer is made, to agree on the price to be paid for the shares owned by the dissenter, then within 20 days:</w:t>
      </w:r>
    </w:p>
    <w:p>
      <w:pPr>
        <w:spacing w:after="0" w:line="108" w:lineRule="exact"/>
        <w:rPr>
          <w:sz w:val="20"/>
          <w:szCs w:val="20"/>
          <w:color w:val="auto"/>
        </w:rPr>
      </w:pPr>
    </w:p>
    <w:p>
      <w:pPr>
        <w:ind w:left="640" w:hanging="308"/>
        <w:spacing w:after="0"/>
        <w:tabs>
          <w:tab w:leader="none" w:pos="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dissenter shall each designate an appraiser;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designated appraisers together shall designate an appraiser;</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appraisers shall fix the fair value of the shares owned by the dissenter as of the close of business on the day prior to the date of the meeting or the date on which the resolution was passed, excluding any appreciation or depreciation directly or indirectly induced by the action or its proposal, and that value is binding on the Company and the dissenter for all purposes;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dissenter the amount in money upon the surrender by him of the certificates representing his shares, and such shares shall be cancelled.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Under the provisions of the BVI Act, the memorandum and articles of association of a company are binding as between the company and its shareholders and between the shareholders.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the majority shareholders have infringed a minority shareholder’s rights, the minority may seek to enforce its rights either by derivative action or by personal action. A derivative action concerns the infringement of the company’s rights where the wrongdoers are in control of the company and are preventing it from taking action, whereas a personal action concerns the infringement of a right that is personal to the particular shareholder concerned.</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BVI Act provides for a series of remedies available to shareholders. Where a company incorporated under the BVI Act conducts some activity which breaches the BVI Act or the company’s memorandum and articles of association, the BVI</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60"/>
          </w:cols>
          <w:pgMar w:left="320" w:top="1201" w:right="419" w:bottom="1440" w:gutter="0" w:footer="0" w:header="0"/>
        </w:sectPr>
      </w:pPr>
    </w:p>
    <w:bookmarkStart w:id="183" w:name="page184"/>
    <w:bookmarkEnd w:id="183"/>
    <w:p>
      <w:pPr>
        <w:ind w:right="400"/>
        <w:spacing w:after="0" w:line="282" w:lineRule="auto"/>
        <w:rPr>
          <w:sz w:val="20"/>
          <w:szCs w:val="20"/>
          <w:color w:val="auto"/>
        </w:rPr>
      </w:pPr>
      <w:r>
        <w:rPr>
          <w:rFonts w:ascii="Times New Roman" w:cs="Times New Roman" w:eastAsia="Times New Roman" w:hAnsi="Times New Roman"/>
          <w:sz w:val="18"/>
          <w:szCs w:val="18"/>
          <w:color w:val="auto"/>
        </w:rPr>
        <w:t>High Court can issue a restraining or compliance order. Shareholders can now also bring derivative, personal and representative actions under certain circumstances.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Generally any other claims against a company by its shareholders must be based on the general laws of contract or tort applicable in the BVI or their individual rights as shareholders as established by the company’s memorandum and articles of association.</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certain circumstances, a shareholder has the right to seek various remedies against the company in the event the directors are in breach of their duties under the BVI Act. Pursuant to Section 184B of the BVI Act, if a company or director of a company engages in, proposes to engage in or has engaged in, conduct that contravenes the provisions of the BVI Act or the memorandum or articles of association of the company, the courts of the British Virgin Islands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courts of the British Virgin Islands for an order which, inter alia, can require the company or any other person to pay compensation to the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BVI Corporate Law and Delaware U.S. Corporate Law</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significant differences between the provisions of the laws of the BVI applicable to us and the laws applicable to companies incorporated in Delaware in the United States and their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Our Amended Memorandum and Articles of Association allow our shareholders holding not less than 10% of the votes of the outstanding voting shares to requisition a shareholders’ meeting. We are not obliged by law to call shareholders’ annual general meetings, but our Amended Memorandum and Articles of Association do permit the directors to call such a meeting and we intend to hold annual meetings of shareholders following the completion of the Distribution. The location of any shareholders’ meeting can be determined by the board of directors and can be held anywhere in the world.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There are no prohibitions in relation to cumulative voting under the laws of the British Virgin Islands but our Amended Memorandum and Articles of Association do not provide for cumulative voting. As a result, our shareholders are not afforded any less protections or rights on this issue than shareholders of a Delaware corporation.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British Virgin Islands law provides that companies may permit shareholder actions by written consent, our Amended Memorandum and Articles of Association provide that shareholders may not approve corporate matters by way of a written resolution.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Memorandum and Articles of Association.</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Amended Memorandum and Articles of Association may be amended with a resolution of our shareholders or, with certain exception by resolutions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Memorandum and Articles of Association, directors can be removed from office,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60"/>
          </w:cols>
          <w:pgMar w:left="320" w:top="1201" w:right="419" w:bottom="1440" w:gutter="0" w:footer="0" w:header="0"/>
        </w:sectPr>
      </w:pPr>
    </w:p>
    <w:bookmarkStart w:id="184" w:name="page185"/>
    <w:bookmarkEnd w:id="184"/>
    <w:p>
      <w:pPr>
        <w:ind w:right="80"/>
        <w:spacing w:after="0" w:line="282" w:lineRule="auto"/>
        <w:rPr>
          <w:sz w:val="20"/>
          <w:szCs w:val="20"/>
          <w:color w:val="auto"/>
        </w:rPr>
      </w:pPr>
      <w:r>
        <w:rPr>
          <w:rFonts w:ascii="Times New Roman" w:cs="Times New Roman" w:eastAsia="Times New Roman" w:hAnsi="Times New Roman"/>
          <w:sz w:val="18"/>
          <w:szCs w:val="18"/>
          <w:color w:val="auto"/>
        </w:rPr>
        <w:t>with cause, by a resolution of shareholders passed at a meeting called for the purpose of removing the director or for purposes including the removal of the director by the affirmative vote of at least sixty-six and two-thirds percent (66 2/3%) of the votes of the common shares entitled to vote.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75"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w:t>
      </w:r>
    </w:p>
    <w:p>
      <w:pPr>
        <w:spacing w:after="0" w:line="1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British Virgin Islands law has no comparable statute. As a result, we are not afforded the same statutory protections in the British Virgin Islands as we would be offered by the Delaware business combination statute. However, although British Virgin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See also “Shareholders’ Suits” above. We have adopted a code of business conduct and ethics which requires employees to fully disclose any situations that could reasonably be expected to give rise to a conflict of interest, and sets forth relevant restrictions and procedures when a conflict of interest arises to ensure the best interest of the Company. Our Amended Memorandum and Articles of Association also import the provisions of the Delaware General Corporation Law which prohibits the Company from engaging in certain business combinations with an "interested shareholder" for three years following the date that such person becomes an interested shareholder unless (i) prior to the date on which such shareholder becomes an interested shareholder, the board of directors approves either the business combination or the transaction which resulted in the person becoming an interested shareholder, (ii) upon consummation of the transaction which resulted in the shareholder becoming an interested shareholder, the interested shareholder owned at least 85% of the votes of shares in the Company outstanding at the time the transaction commenced or (iii) at or subsequent to such time the business combination is approved by the Board and authorized at an annual or extraordinary general meeting of shareholders, and not by written consent, by the affirmative vote of at least 66 2/3% of the votes of shares not owned by the interested shareholder.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40"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Under British Virgin Islands law, the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memorandum and articles of association or the BVI 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20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BVI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believed to be in the best interests of the company and, in the case of criminal proceedings, the person had no reasonable cause to believe that his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Memorandum and Articles of Association.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than with respect to the issuance of the Preferred Shares in accordance with our Amended Memorandum and Articles 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superior to such existing class of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Winding-Up</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BVI law, the liquidation of a company may be a voluntary solvent liquidation or a insolvent liquidation under the BVI Insolvency Act. Where a company has been struck off the Register of Companies under the BVI Act continuously for a period of 7 years it is dissolved with effect from the last day of that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Voluntary Liquidation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the liquidation is a solvent liquidation, the provisions of the BVI Act governs the liquidation. A company may only be liquidated under the BVI Act as a solvent liquidation if it has no liabilities or it is able to pay its debts as they fall due and the value of its assets exceeds its liabilities. Subject to the Amended Memorandum and Articles of Association, a liquidator may be appointed by a resolution of directors or resolution of shareholders but if the directors have commenced liquidation by a resolution of directors the shareholders must approve the liquidation plan by a resolution of shareholders save in limited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liquidator is appointed for the purpose of collecting in and realizing the assets of a company and distributing proceeds to creditors.</w:t>
      </w:r>
    </w:p>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expect that in the event of a voluntary liquidation of the Company, after payment of the liquidation costs and any sums then due to creditors, the liquidator would distribute our remaining assets on a pari passu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Amended Memorandum and Articles of Association on the rights of non-resident or foreign shareholders to hold or exercise voting rights on our shares. In addition, there are no provisions in our Amended Memorandum and Articles of Association governing the ownership threshold above which shareholder ownership must be disclosed.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19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person resident in the British Virgin Islands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of the British Virgin Islands, pursuant to the Proceeds of Criminal Conduct Act (as revised). Such a report shall not be treated as a breach of confidence or of any restriction upon the disclosure of information imposed by any enactment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shares is American Stock Transfer &amp; Trust Company, LLC. The transfer agent’s address is 6201 15th Avenue, Brooklyn, NY 11219.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apply to list our common shares on the New York Stock Exchange under the trading symbol “BHVN.”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60"/>
          </w:cols>
          <w:pgMar w:left="320" w:top="1197" w:right="41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believed to be in the best interests of the company and, in the case of criminal proceedings, the person had no reasonable cause to believe that his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Memorandum and Articles of Association.</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prior to the completion of the Distribution, we expect to enter into indemnification agreements with each of our directors and executive officers that may be broader than the specific indemnification provisions contained under British Virgin Islands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Memorandum and Articles of Association and in indemnification agreements that we enter into with our directors and executive officers may discourage shareholders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shareholders. Further, a shareholder’s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251" w:right="339" w:bottom="1440" w:gutter="0" w:footer="0" w:header="0"/>
        </w:sectPr>
      </w:pPr>
    </w:p>
    <w:bookmarkStart w:id="188" w:name="page189"/>
    <w:bookmarkEnd w:id="1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information statement forms a part, under the Exchange Act and the rules and regulations promulgated under the Exchange Act with respect to our common shares being distributed to RemainCo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such contract, agreement or document filed as an exhibit to the registration statement and you should read the full text of such contract, agreement or document for a more complete understanding of the document or matter involved. For further information with respect to us and our common shares, we refer you to the registration statement, of which this information statement forms a part, including the exhibits and the schedules filed as a part of it.</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furnish the holders of our common shares with annual reports and proxy statements containing financial statements audited by an independent public accounting firm and to file with the SEC quarterly reports for the first three quarters of each fiscal year containing interim unaudited financial information. We also intend to furnish other reports as we may determine or as required by law.</w:t>
      </w:r>
    </w:p>
    <w:p>
      <w:pPr>
        <w:spacing w:after="0" w:line="122"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The registration statement, of which this information statement forms a part, and its exhibits and schedules, and other documents which we file with the SEC are available to the public at the SEC’s website at http://www.sec.gov.</w:t>
      </w:r>
    </w:p>
    <w:p>
      <w:pPr>
        <w:spacing w:after="0" w:line="108"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Information that we file with the SEC after the date of this information statement may supersede the information in this information statement. You may read these reports, proxy statements and other information and obtain copies of such documents and information as described above.</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00"/>
          </w:cols>
          <w:pgMar w:left="320" w:top="1251" w:right="37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7"/>
              </w:rPr>
              <w:t>BIOHAVEN LTD.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40" w:type="dxa"/>
            <w:vAlign w:val="bottom"/>
            <w:gridSpan w:val="11"/>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 BUSINESS OF BIOHAVEN PHARMACEUTICAL HOLDING COMPANY LTD.)</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7"/>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Audited Annual Combined Financial Statements</w:t>
            </w: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3"/>
        </w:trPr>
        <w:tc>
          <w:tcPr>
            <w:tcW w:w="20" w:type="dxa"/>
            <w:vAlign w:val="bottom"/>
          </w:tcPr>
          <w:p>
            <w:pPr>
              <w:spacing w:after="0"/>
              <w:rPr>
                <w:sz w:val="15"/>
                <w:szCs w:val="15"/>
                <w:color w:val="auto"/>
              </w:rPr>
            </w:pPr>
          </w:p>
        </w:tc>
        <w:tc>
          <w:tcPr>
            <w:tcW w:w="97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80" w:type="dxa"/>
            <w:vAlign w:val="bottom"/>
          </w:tcPr>
          <w:p>
            <w:pPr>
              <w:spacing w:after="0"/>
              <w:rPr>
                <w:sz w:val="15"/>
                <w:szCs w:val="15"/>
                <w:color w:val="auto"/>
              </w:rPr>
            </w:pPr>
          </w:p>
        </w:tc>
        <w:tc>
          <w:tcPr>
            <w:tcW w:w="60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0000FF"/>
              </w:rPr>
              <w:t>F-2</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Combined Balance Sheets </w:t>
            </w:r>
            <w:r>
              <w:rPr>
                <w:rFonts w:ascii="Times New Roman" w:cs="Times New Roman" w:eastAsia="Times New Roman" w:hAnsi="Times New Roman"/>
                <w:sz w:val="18"/>
                <w:szCs w:val="18"/>
                <w:color w:val="000000"/>
              </w:rPr>
              <w:t>as of December 31, 2021 and 2020</w:t>
            </w:r>
          </w:p>
        </w:tc>
        <w:tc>
          <w:tcPr>
            <w:tcW w:w="88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F-3</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Combined Statements of Operations and Comprehensive Loss </w:t>
            </w:r>
            <w:r>
              <w:rPr>
                <w:rFonts w:ascii="Times New Roman" w:cs="Times New Roman" w:eastAsia="Times New Roman" w:hAnsi="Times New Roman"/>
                <w:sz w:val="18"/>
                <w:szCs w:val="18"/>
                <w:color w:val="000000"/>
              </w:rPr>
              <w:t>for the years ended December 31, 2021 and 2020</w:t>
            </w:r>
          </w:p>
        </w:tc>
        <w:tc>
          <w:tcPr>
            <w:tcW w:w="88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F-4</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Combined Statements of Changes in Equity </w:t>
            </w:r>
            <w:r>
              <w:rPr>
                <w:rFonts w:ascii="Times New Roman" w:cs="Times New Roman" w:eastAsia="Times New Roman" w:hAnsi="Times New Roman"/>
                <w:sz w:val="18"/>
                <w:szCs w:val="18"/>
                <w:color w:val="000000"/>
              </w:rPr>
              <w:t>for the years ended December 31, 2021 and 2020</w:t>
            </w:r>
          </w:p>
        </w:tc>
        <w:tc>
          <w:tcPr>
            <w:tcW w:w="88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Combined Statements of Cash Flows </w:t>
            </w:r>
            <w:r>
              <w:rPr>
                <w:rFonts w:ascii="Times New Roman" w:cs="Times New Roman" w:eastAsia="Times New Roman" w:hAnsi="Times New Roman"/>
                <w:sz w:val="18"/>
                <w:szCs w:val="18"/>
                <w:color w:val="000000"/>
              </w:rPr>
              <w:t>for the years ended December 31, 2021 and 2020</w:t>
            </w:r>
          </w:p>
        </w:tc>
        <w:tc>
          <w:tcPr>
            <w:tcW w:w="88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rPr>
              <w:t>F-6</w:t>
            </w:r>
          </w:p>
        </w:tc>
      </w:tr>
      <w:tr>
        <w:trPr>
          <w:trHeight w:val="20"/>
        </w:trPr>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678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340" w:type="dxa"/>
            <w:vAlign w:val="bottom"/>
          </w:tcPr>
          <w:p>
            <w:pPr>
              <w:spacing w:after="0"/>
              <w:rPr>
                <w:sz w:val="18"/>
                <w:szCs w:val="18"/>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Financial Statements</w:t>
            </w: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3"/>
        </w:trPr>
        <w:tc>
          <w:tcPr>
            <w:tcW w:w="20" w:type="dxa"/>
            <w:vAlign w:val="bottom"/>
          </w:tcPr>
          <w:p>
            <w:pPr>
              <w:spacing w:after="0"/>
              <w:rPr>
                <w:sz w:val="15"/>
                <w:szCs w:val="15"/>
                <w:color w:val="auto"/>
              </w:rPr>
            </w:pPr>
          </w:p>
        </w:tc>
        <w:tc>
          <w:tcPr>
            <w:tcW w:w="97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Condensed Combined Balance Sheets </w:t>
            </w:r>
            <w:r>
              <w:rPr>
                <w:rFonts w:ascii="Times New Roman" w:cs="Times New Roman" w:eastAsia="Times New Roman" w:hAnsi="Times New Roman"/>
                <w:sz w:val="18"/>
                <w:szCs w:val="18"/>
                <w:color w:val="000000"/>
              </w:rPr>
              <w:t>as of June 30, 2022 and December 31, 2021</w:t>
            </w:r>
          </w:p>
        </w:tc>
        <w:tc>
          <w:tcPr>
            <w:tcW w:w="148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color w:val="0000FF"/>
                <w:w w:val="99"/>
              </w:rPr>
              <w:t>F-28</w:t>
            </w:r>
          </w:p>
        </w:tc>
      </w:tr>
      <w:tr>
        <w:trPr>
          <w:trHeight w:val="20"/>
        </w:trPr>
        <w:tc>
          <w:tcPr>
            <w:tcW w:w="2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Condensed Combined Statements of Operations and Comprehensive Loss </w:t>
            </w:r>
            <w:r>
              <w:rPr>
                <w:rFonts w:ascii="Times New Roman" w:cs="Times New Roman" w:eastAsia="Times New Roman" w:hAnsi="Times New Roman"/>
                <w:sz w:val="18"/>
                <w:szCs w:val="18"/>
                <w:color w:val="000000"/>
              </w:rPr>
              <w:t>for the six months ended June 30, 2022 and 2021</w:t>
            </w: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w w:val="99"/>
              </w:rPr>
              <w:t>F-29</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Condensed Combined Statements of Changes in Equity </w:t>
            </w:r>
            <w:r>
              <w:rPr>
                <w:rFonts w:ascii="Times New Roman" w:cs="Times New Roman" w:eastAsia="Times New Roman" w:hAnsi="Times New Roman"/>
                <w:sz w:val="18"/>
                <w:szCs w:val="18"/>
                <w:color w:val="000000"/>
              </w:rPr>
              <w:t>for the six months ended June 30, 2022 and 2021</w:t>
            </w: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w w:val="99"/>
              </w:rPr>
              <w:t>F-30</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Condensed Combined Statements of Cash Flows </w:t>
            </w:r>
            <w:r>
              <w:rPr>
                <w:rFonts w:ascii="Times New Roman" w:cs="Times New Roman" w:eastAsia="Times New Roman" w:hAnsi="Times New Roman"/>
                <w:sz w:val="18"/>
                <w:szCs w:val="18"/>
                <w:color w:val="000000"/>
              </w:rPr>
              <w:t>for the six months ended June 30, 2022 and 2021</w:t>
            </w: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w w:val="99"/>
              </w:rPr>
              <w:t>F-31</w:t>
            </w:r>
          </w:p>
        </w:tc>
      </w:tr>
      <w:tr>
        <w:trPr>
          <w:trHeight w:val="20"/>
        </w:trPr>
        <w:tc>
          <w:tcPr>
            <w:tcW w:w="20" w:type="dxa"/>
            <w:vAlign w:val="bottom"/>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Notes to Condensed Combined Financial Statements</w:t>
            </w:r>
          </w:p>
        </w:tc>
        <w:tc>
          <w:tcPr>
            <w:tcW w:w="5940" w:type="dxa"/>
            <w:vAlign w:val="bottom"/>
            <w:gridSpan w:val="5"/>
          </w:tcPr>
          <w:p>
            <w:pPr>
              <w:spacing w:after="0"/>
              <w:rPr>
                <w:sz w:val="18"/>
                <w:szCs w:val="18"/>
                <w:color w:val="auto"/>
              </w:rPr>
            </w:pP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0000FF"/>
                <w:w w:val="99"/>
              </w:rPr>
              <w:t>F-32</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251"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Biohaven Ltd. (formerly Biohaven Research Ltd.)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Biohaven Ltd. (formerly Biohaven Research Ltd.) (the Company) as of December 31, 2021 and 2020, the related combined statements of operations and comprehensive loss, changes in equity and cash flows for the years then ended, and the related notes (collectively referred to as the “combined financial statements”). In our opinion, the combined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238" w:right="35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82,506</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89,756</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142,061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27,119</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Contingently redeemable non-controlling interests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from Parent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25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98,460</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114,506</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(114,506)</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(118,668)</w:t>
            </w:r>
          </w:p>
        </w:tc>
      </w:tr>
      <w:tr>
        <w:trPr>
          <w:trHeight w:val="21"/>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251"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7180" w:type="dxa"/>
            <w:vAlign w:val="bottom"/>
            <w:gridSpan w:val="2"/>
          </w:tcPr>
          <w:p>
            <w:pPr>
              <w:jc w:val="right"/>
              <w:ind w:right="2156"/>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tc>
        <w:tc>
          <w:tcPr>
            <w:tcW w:w="1140" w:type="dxa"/>
            <w:vAlign w:val="bottom"/>
          </w:tcPr>
          <w:p>
            <w:pPr>
              <w:spacing w:after="0"/>
              <w:rPr>
                <w:sz w:val="20"/>
                <w:szCs w:val="20"/>
                <w:color w:val="auto"/>
              </w:rPr>
            </w:pPr>
          </w:p>
        </w:tc>
      </w:tr>
      <w:tr>
        <w:trPr>
          <w:trHeight w:val="378"/>
        </w:trPr>
        <w:tc>
          <w:tcPr>
            <w:tcW w:w="2920" w:type="dxa"/>
            <w:vAlign w:val="bottom"/>
          </w:tcPr>
          <w:p>
            <w:pPr>
              <w:spacing w:after="0"/>
              <w:rPr>
                <w:sz w:val="24"/>
                <w:szCs w:val="24"/>
                <w:color w:val="auto"/>
              </w:rPr>
            </w:pPr>
          </w:p>
        </w:tc>
        <w:tc>
          <w:tcPr>
            <w:tcW w:w="7180" w:type="dxa"/>
            <w:vAlign w:val="bottom"/>
            <w:gridSpan w:val="2"/>
          </w:tcPr>
          <w:p>
            <w:pPr>
              <w:jc w:val="right"/>
              <w:ind w:right="3476"/>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140" w:type="dxa"/>
            <w:vAlign w:val="bottom"/>
          </w:tcPr>
          <w:p>
            <w:pPr>
              <w:spacing w:after="0"/>
              <w:rPr>
                <w:sz w:val="24"/>
                <w:szCs w:val="24"/>
                <w:color w:val="auto"/>
              </w:rPr>
            </w:pPr>
          </w:p>
        </w:tc>
      </w:tr>
      <w:tr>
        <w:trPr>
          <w:trHeight w:val="326"/>
        </w:trPr>
        <w:tc>
          <w:tcPr>
            <w:tcW w:w="29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4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Net Investment from</w:t>
            </w:r>
          </w:p>
        </w:tc>
      </w:tr>
      <w:tr>
        <w:trPr>
          <w:trHeight w:val="195"/>
        </w:trPr>
        <w:tc>
          <w:tcPr>
            <w:tcW w:w="2920" w:type="dxa"/>
            <w:vAlign w:val="bottom"/>
            <w:tcBorders>
              <w:bottom w:val="single" w:sz="8" w:color="CCEEFF"/>
            </w:tcBorders>
          </w:tcPr>
          <w:p>
            <w:pPr>
              <w:spacing w:after="0"/>
              <w:rPr>
                <w:sz w:val="16"/>
                <w:szCs w:val="16"/>
                <w:color w:val="auto"/>
              </w:rPr>
            </w:pPr>
          </w:p>
        </w:tc>
        <w:tc>
          <w:tcPr>
            <w:tcW w:w="6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Parent</w:t>
            </w: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6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(118,668)</w:t>
            </w:r>
          </w:p>
        </w:tc>
      </w:tr>
      <w:tr>
        <w:trPr>
          <w:trHeight w:val="229"/>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6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r>
      <w:tr>
        <w:trPr>
          <w:trHeight w:val="22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23"/>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6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r>
      <w:tr>
        <w:trPr>
          <w:trHeight w:val="230"/>
        </w:trPr>
        <w:tc>
          <w:tcPr>
            <w:tcW w:w="2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231,706</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34,691</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251"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(118,668)</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Parent common shares as payment for license and consulting agreements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non-cash items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29"/>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29"/>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r>
      <w:tr>
        <w:trPr>
          <w:trHeight w:val="229"/>
        </w:trPr>
        <w:tc>
          <w:tcPr>
            <w:tcW w:w="8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(75,957)</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leasehold improvements</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 in business acquisition</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contingently redeemable non-controlling interests</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152,242</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restricted cash</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51" w:right="33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Nature of the Business and Basis of Presentation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9, 2022, Biohaven Pharmaceutical Holding Company Ltd. (“Biohaven” or the “Parent”), Pfizer Inc. (“Pfizer”) and a wholly owned subsidiary of Pfizer (“Merger Sub”), entered into an Agreement and Plan of Merger (the “Merger Agreement”), which provides for the acquisition by Pfizer of the Parent through the merger of Merger Sub with and into the Parent (the “Merger”). In connection with the Merger Agreement, the Parent and Biohaven Ltd. (“SpinCo” or “the Company”) entered into a Separation and Distribution Agreement, dated as of May 9, 2022 (the “Distribution Agreement”). In connection with the Distribution Agreement, the Board of Directors of the Parent approved and directed the Parent’s management to effect the spin-off of the business, operations, and activities that are not the CGRP Business (as defined below), including Kv7 ion channel activators, glutamate modulation, MPO inhibition and myostatin inhibition platforms, preclinical product candidates, and certain corporate infrastructure currently owned by the Parent, or collectively the “Biohaven Research Business”.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implement the spin-off, the Parent expects to transfer the related license agreements, intellectual property and corporate infrastructure, including certain non-commercial employee agreements, share based awards and other corporate agreements (the “Business”) to Biohaven Ltd, through a series of internal restructuring transactions, which we refer to as the pre-closing reorganization. Descriptions of historical business activities in these Notes to Combined Financial Statements are presented as if these transfers had already occurred, and the Parent’s activities related to such assets and liabilities had been performed by the Company.</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effect the spin-off, each of the Parent’s shareholders will receive one of our common shares for every two common shares of the Parent held prior to the spin-off. Upon completion of the spin-off, the Company will be a stand-alone, publicly traded company focused on the development of its Kv7 ion channel activator, glutamate modulation, MPO inhibition and myostatin inhibition platforms, which it believes have the potential to alter existing treatment approaches across a diverse set of neurological indications with high unmet need in both large markets and orphan indications.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spin-off would generally result in (a) the Company directly or indirectly owning, assuming, or retaining certain assets and liabilities of the Parent and its subsidiaries related to the Parent’s pipeline assets and businesses and (b) the Parent directly or indirectly owning, assuming, or retaining all other assets and liabilities, including those associated with the Parent’s platform for the research, development, manufacture and commercialization of calcitonin gene-related receptor antagonists, including rimegepant, zavegepant and the Heptares Therapeutics Limited preclinical CGRP portfolio and related assets (the “CGRP Business”).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may require additional capital, additional personnel and infrastructure, and further regulatory and other capabilities. Even if the Company’s product development efforts are successful, it is uncertain when, if ever, the Company will realize significant revenue from product sales.</w:t>
      </w:r>
    </w:p>
    <w:p>
      <w:pPr>
        <w:spacing w:after="0" w:line="1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Upon formation and to date, Biohaven Ltd. has had nominal assets, and no liabilities or results of operations and has 100 common shares of no par value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combined financial statements present, on a historical basis, the combined assets, liabilities, expenses and cash flows directly attributable to the Business which have been prepared from the Parent’s consolidated financial statements and accounting records and are presented on a stand-alone basis as if the operations have been conducted independently from the Parent. Historically, separate financial statements have not been prepared for the Company and it has not operated as a standalone business from the Parent.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96" w:name="page197"/>
    <w:bookmarkEnd w:id="1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in accordance with accounting principles generally accepted in the United States of America (“GAAP”) and pursuant to the rules and regulations of the U.S. Securities and Exchange Commission (“SEC”).</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combined financial statements of operations and comprehensive loss include all costs directly related to the Business, including costs for facilities, functions and services utilized by the Company. The combined statements of operations and comprehensive loss also include allocations for various expenses related to the Parent’s corporate functions, including research and development, human resources, information technology, facilities, tax, shared services, accounting, finance and legal. These expenses were allocated on the basis of direct usage or benefit when specifically identifiable, with the remainder allocated on a proportional cost allocation method primarily based on employee labor hours or direct expenses. Management believes the assumptions underlying the combined financial statements, including the expense methodology and resulting allocation, are reasonable for all periods presented. However, the allocations may not include all of the actual expenses that would have been incurred by the Company and may not reflect its combined results of operations, financial position and cash flows had it been a standalone company during the periods presented. It is not practicable to estimate actual costs that would have been incurred had the Company been a standalone company and operated as an unaffiliated entity during the periods presented. Actual costs that might have been incurred had the Company been a standalone company would depend on a number of factors, including the organizational structure, what corporate functions the Company might have performed directly or outsourced and strategic decisions the Company might have made in areas such as executive management, legal and other professional services, and certain corporate overhead functions.</w:t>
      </w:r>
    </w:p>
    <w:p>
      <w:pPr>
        <w:spacing w:after="0" w:line="13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income tax amounts in the combined financial statements have been calculated on a separate return method and are presented as if the Company’s operations were separate taxpayers in the respective jurisdiction. Therefore, tax expense, cash tax payments, and items of current and deferred taxes may not be reflective of the Company’s actual tax balances prior to or subsequent to the distribution.</w:t>
      </w:r>
    </w:p>
    <w:p>
      <w:pPr>
        <w:spacing w:after="0" w:line="12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connection with the separation, the Company and Biohaven expect to enter into a transition services agreement whereby the Company will provide certain transition services to Biohaven and Biohaven will provide certain transition services to the Company. The Company expects to incur certain costs to establish itself as a standalone public company, as well as ongoing additional costs associated with operating as an independent, publicly traded company.</w:t>
      </w:r>
    </w:p>
    <w:p>
      <w:pPr>
        <w:spacing w:after="0" w:line="10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that have been determined to be specifically identifiable or otherwise attributable to the Company, including certain assets that were historically held at the corporate level in the Parent. All intracompany transactions within the Company have been eliminated. All intercompany transactions between the Company and the Parent are considered to be effectively settled in the combined financial statements at the time the transactions are recorded. The total net effect of these intercompany transactions considered to be settled is reflected in the combined statement of cash flows within financing activities and in the combined balance sheets as “Net investment from Parent.” See Note 9, Related Party Transactions for additional information regarding related party transactions.</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equity balance in these combined financial statements represents the excess of total assets over liabilities. Net investment from Parent is primarily impacted by contributions from Parent which are the result of net funding provided by or distributed to Parent.</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Cash on the combined balance sheets represents cash balances from the standalone entities established to operate the Business and that will be contributed to the Company in connection with the spin-off. The Company is a co-obligor, jointly and severally with the Parent on Biohaven’s third-party long-term debt obligations with Sixth Street Specialty Lending, Inc. Biohaven’s third-party long-term debt and related interest expense are not reflected in the combined financial statements because the Company has not agreed to pay a specified amount of the borrowings on the basis of its arrangement with the Parent, nor is the Company expected to pay any portion of the Parent’s third-party debt, and the borrowings are not specifically identifiable to SpinCo. See Note 8, Commitments and Contingencies for additional information regarding 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that the combined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320" w:top="117" w:right="35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 July 1, 2022, the Company has funded its operations primarily with proceeds from Biohaven Pharmaceutical Holding Co., its Parent, and the Company expects the Parent to continue to fund its cash needs though the date of Distribution. The Company has incurred recurring losses since its inception, including net losses of $213,796 and $118,668 during the years ended December 31, 2021 and 2020, respectively. The Company expects to continue to generate operating losses for the foreseeable future. As of July 1, 2022, the issuance date of these combined financial statements, the Company expects that its continued funding from Parent will be sufficient to fund operating expenses, financial commitments and other cash requirements for at least one year after the issuance date of these financial statements. Following the Distribution, the Company’s viability will be dependent on its ability to raise additional capital to finance its operations.</w:t>
      </w:r>
    </w:p>
    <w:p>
      <w:pPr>
        <w:spacing w:after="0" w:line="13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To execute its business plans, the Company will require funding to support its continuing operations and pursue its growth strategy. Until such time as the Company can generate significant revenue from product sales, if ever, it expects to finance its operations through the sale of public or private equity,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GAAP requires management to make estimates and assumptions that affect the reported amounts of assets and liabilities, the disclosure of contingent assets and liabilities at the date of the combined financial statements and the reported amounts of income and expenses during the reporting periods. Significant estimates and assumptions reflected in these combined financial statements include, but are not limited to, the valuation of intangible assets, determining the allocations of costs and expenses from the Parent and the accrual for research and development expenses. In addition, management’s assessment of the Company’s ability to continue as a going concern involves the estimation of the amount and timing of future cash inflows and outflows. Estimates are periodically reviewed in light of changes in circumstances, facts and experience. Changes in estimates are recorded in the period in which they become known.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Periodically, the Company maintains deposits in government insured financial institutions in excess of government insured limits. The Company deposits its cash in financial institutions that it believes have high credit quality and has not experienced any losses on such accounts and does not believe it is exposed to any significant credit risk on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collateral held by a bank for a letter of credit ("LOC") issued in connection with the leased office space in Yardley, Pennsylvania. See Note 8 ‘‘Commitments and Contingencies’’ for additional information 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117" w:right="35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 estate lease. The following represents a reconciliation of cash in the combined balance sheets to total cash and restricted cash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 respectively, in the combined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76,057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 at the end of the period in the combined statement of cash flows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77,057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Company’s combined financial statements include the operations of acquired businesses after the completion of the acquisitions. The Company accounts for acquired businesses using the acquisition method of accounting, which requires, among other things, that assets acquired and liabilities assumed be recognized at their estimated fair values as of the acquisition date and that the fair value of acquired In-Process Research and Development ("IPR&amp;D") be recorded on the balance sheet. Transaction costs are expensed as incurred. Any excess of the consideration transferred over the assigned values of the net assets acquired is recorded as goodwill. Contingent consideration in a business acquisition is included as part of the consideration transferred and is recognized at fair value as of the acquisition date. Fair value of IPR&amp;D and contingent consideration is generally estimated by using a probability-weighted discounted cash flow approach.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Gain (loss) from equity method investment in the combined statement of operations and comprehensive loss and results in a corresponding adjustment to the carrying value of the investment on the combined balance sheet. Dividends received reduce the carrying value of the investment.</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owned approximately 42% of the outstanding shares of Kleo Pharmaceuticals, Inc. ("Kleo"), which was accounted for as an equity method investment. In January 2021, the Company acquired the remaining 58% of Kleo's common shares that it did not previously own and ceased accounting for Kleo as an equity method investment. See Note 4 "Acquisitions" for additional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using the straight-line method over the estimated useful lives of the respective assets. As of December 31, 2021 and December 31, 2020, the Company's property and equipment consisted of office buildings and land, office and lab equipment, computer hardware and software, and furniture and fixtures.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fixed assets have the following useful lives:</w:t>
            </w:r>
          </w:p>
        </w:tc>
        <w:tc>
          <w:tcPr>
            <w:tcW w:w="4260" w:type="dxa"/>
            <w:vAlign w:val="bottom"/>
          </w:tcPr>
          <w:p>
            <w:pPr>
              <w:spacing w:after="0"/>
              <w:rPr>
                <w:sz w:val="20"/>
                <w:szCs w:val="20"/>
                <w:color w:val="auto"/>
              </w:rPr>
            </w:pPr>
          </w:p>
        </w:tc>
      </w:tr>
      <w:tr>
        <w:trPr>
          <w:trHeight w:val="189"/>
        </w:trPr>
        <w:tc>
          <w:tcPr>
            <w:tcW w:w="698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lab equipment</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2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 Property and equipment are monitored regularly for impairment whenever events or changes in business circumstances indicate that the carrying amount of the assets may not be fully recoverable.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17" w:right="339" w:bottom="1440" w:gutter="0" w:footer="0" w:header="0"/>
        </w:sectPr>
      </w:pPr>
    </w:p>
    <w:bookmarkStart w:id="199" w:name="page200"/>
    <w:bookmarkEnd w:id="1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IPR&amp;D that the Company acquires in conjunction with the acquisition of a business represents the fair value assigned to incomplete research projects which, at the time of acquisition, have not reached technological feasibility. The amounts are capitalized and accounted for as indefinite-lived intangible assets, subject to impairment testing until completion or abandonment of the projects. Upon successful completion of each project, the Company will make a determination as to the then-useful life of the intangible asset, generally determined by the period in which the substantial majority of the cash flows are expected to be generated, and begin amortization.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acquired intangible assets is primarily determined using an income-based approach referred to as the multi-period excess earnings method utilizing Level 3 fair value inputs. The market participant valuation assumes a global view considering all potential jurisdictions and indications based on discounted after-tax cash flow projections, risk adjusted for estimated probability of technical and regulatory success.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evaluates IPR&amp;D for impairment at least annually in the fourth quarter and more frequently if impairment indicators exist, by performing a quantitative test that compares the fair value of the IPR&amp;D intangible asset with its carrying value. If the fair value is less than the carrying amount, an impairment loss is recognized in operating results.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January 2021, in connection with the acquisition of Kleo, the Company recorded intangible assets consisting of IPR&amp;D assets of $18,400, which included an oncology therapeutic candidate and a COVID-19 therapeutic candidate which have entered clinical trials, and goodwill of $1,390. See Note 4 "Acquisitions" for additional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The Company believes no impairment of long-lived assets existed as of December 31, 2021 or December 31,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9"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carrying values of other current assets, accounts payable, and accrued expenses approximate their fair values due to the short-term nature of these assets and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320" w:top="117" w:right="379" w:bottom="1440" w:gutter="0" w:footer="0" w:header="0"/>
        </w:sectPr>
      </w:pPr>
    </w:p>
    <w:bookmarkStart w:id="200" w:name="page201"/>
    <w:bookmarkEnd w:id="2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Right-of-use assets represent the Company’s right to use an underlying asset for the lease term and operating lease liabilities represent the Company’s obligation to make lease payments arising from the lease. Right-of-use assets and operating lease liabilities are recognized at the commencement date based on the present value of the remaining future minimum lease payments. If the interest rate implicit in the Company’s leases is not readily determinable, the Company utilizes an estimate of its incremental borrowing rate based on market sources including interest rates for companies with similar credit quality for agreements of similar duration, determined by class of underlying asset, to discount the lease payments. The operating lease right-of-use assets also include lease payments made before commencement and exclude lease incentives. The Company's lease terms may include options to extend or terminate the lease when it is reasonably certain that the Company will exercise that option. Leases with an initial term of 12 months or less are not recorded on the balance sheet. Lease expense is recognized on a straight-line basis over the term of the short-term lease and variable lease costs are expensed as incurred.</w:t>
      </w:r>
    </w:p>
    <w:p>
      <w:pPr>
        <w:spacing w:after="0" w:line="13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For its real estate leases, which are accounted for as operating leases, the Company has elected the practical expedient to include both the lease and non-lease components as a single component. In addition, payments made by the Company for improvements to the underlying asset, if the payment relates to an asset of the lessor, are recorded as prepaid rent within other non-current assets in the combined balance sheets prior to lease commencement and on commencement, reclassified to the right-of-use asset. The commencement date for the Company's leased office space in Yardley, Pennsylvania occurred during the second quarter of 2020. In connection with the commencement of the office lease, the Company reclassified $2,850 of leasehold improvements from prepaid rent to operating right-of-use asset. As of December 31, 2021, the Company had restricted cash of $250 and $750 included in other current assets and other non-current assets, respectively, in the combined financial statements, which represent collateral held by a bank for an LOC issued in connection with the leased office space in Yardley, Pennsylvania. The restricted cash is deposited in a non-interest bearing account. See Note 8 ‘‘Commitments and Contingencies’’ for additional information on the real estate lease.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Company manages its operations as a single segment, the development of therapies targeting neurological diseases, for the purposes of assessing performance and making operating decisions. In 2021 and 2020, materially all the Company's long-lived assets were held in the United States.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non-cash share-based compensation and benefits, third-party license fees, and external costs of vendors engaged to conduct clinical development activities and clinical trials as well as to manufacture clinical trial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development-related contracts. These agreements are cancellable, and related payments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Certain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Share-Based Compensation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of the Company’s employees have historically participated in the Parent’s share-based compensation plans. Share-based compensation expense has been allocated to the Company based on a combination of specific identification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20"/>
          </w:cols>
          <w:pgMar w:left="320" w:top="117" w:right="359" w:bottom="1440" w:gutter="0" w:footer="0" w:header="0"/>
        </w:sectPr>
      </w:pPr>
    </w:p>
    <w:bookmarkStart w:id="201" w:name="page202"/>
    <w:bookmarkEnd w:id="2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proportionate cost allocation method. The Company expenses all share-based payments to employees over the requisite service period based on the grant-date fair value of the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Business’ equity on the combined balance sheets represents the historical investment by the Parent in the Business and is presented in net investment from Parent in lieu of stockholders’ equity. The combined statement of changes in equity includes net cash transfers and other assets and liabilities between the Parent and the Business as well as the net losses after tax.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combined financial statements or in the Company's tax returns. Deferred tax assets and liabilities are determined on the basis of the differences between the combined financial statements and tax basis of assets and liabilities using enacted tax rates in effect for the year in which the differences are expected to reverse. Changes in deferred tax assets and liabilities are recorded in the provision for income taxes.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The provision for income taxes includes the effects of applicable tax reserves, or unrecognized tax benefits, as well as the related net interest and penalties.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This ASU simplifies the accounting for income taxes by removing certain exceptions to the general principles in Topic 740. The amendments also improve consistent application of and simplify GAAP for other areas of Topic 740 by clarifying and amending existing guidance. The adoption of ASU 2019-12 did not have a material impact on the Company's combined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 xml:space="preserve">In May 2021 the FASB issued ASU No. 2021-04, </w:t>
      </w:r>
      <w:r>
        <w:rPr>
          <w:rFonts w:ascii="Times New Roman" w:cs="Times New Roman" w:eastAsia="Times New Roman" w:hAnsi="Times New Roman"/>
          <w:sz w:val="17"/>
          <w:szCs w:val="17"/>
          <w:i w:val="1"/>
          <w:iCs w:val="1"/>
          <w:color w:val="auto"/>
        </w:rPr>
        <w:t>Earnings Per Share (Topic 260), Debt—Modifications and Extinguishments (Subtopic 470-50),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(a consensus of the FASB Emerging Issues Task Force), </w:t>
      </w:r>
      <w:r>
        <w:rPr>
          <w:rFonts w:ascii="Times New Roman" w:cs="Times New Roman" w:eastAsia="Times New Roman" w:hAnsi="Times New Roman"/>
          <w:sz w:val="17"/>
          <w:szCs w:val="17"/>
          <w:color w:val="auto"/>
        </w:rPr>
        <w:t>which provides guidance on modifications or exchanges of a freestanding equity-classified written call option that is not within the scope of another topic. An entity should treat a modification of the terms or conditions or an exchange of a freestanding equity-classified written call option that remains equity classified after modification or exchange as an exchange of the original instrument for a new instrument, and provides further guidance on measuring the effect of a modification or an exchange of a freestanding equity-classified written call option that remains equity classified after modification or exchange. ASU 2021-04 also provides guidance on the recognition of the effect of a modification or an exchange of a freestanding equity-classified written call option that remains equity classified after modification or exchange on the basis of the substance of the transaction, in the same manner as if cash had been paid as consideration. The guidance is applied prospectively and is effective for all entities for fiscal years beginning after December 15, 2021, and interim periods within those fiscal years. Early adoption is permitted. The Company has evaluated the impact that the adoption of ASU 2021-04 will have on the combined financial statements. The effect will largely depend on the terms of written call options or financings issued or modified in the future.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117" w:right="35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 receivable</w:t>
            </w:r>
          </w:p>
        </w:tc>
        <w:tc>
          <w:tcPr>
            <w:tcW w:w="880" w:type="dxa"/>
            <w:vAlign w:val="bottom"/>
            <w:gridSpan w:val="2"/>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lab equipment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 purchase and sale agreement (the "Purchase and Sale Agreement") to purchase a building located at 221 Church Street, New Haven, Connecticut in exchange for 39,004 common shares of the Parent valued at approximately $4,871. The Purchase and Sale Agreement closed and the Parent issued the shares in December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$673 and $72 for the years ended December 31, 2021 and 2020 respectively.</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computer software costs included in property and equipment were $760 and $0, respectively, net of accumulated amortization of $211 and $0, respectively. Depreciation and amortization expense for capitalized computer software costs was $28 and $0 for the years ended December 31, 2021 and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p>
      <w:pPr>
        <w:spacing w:after="0" w:line="205"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A-2 Preferred Stock Investment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30"/>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8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14,438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w:t>
            </w:r>
          </w:p>
        </w:tc>
      </w:tr>
      <w:tr>
        <w:trPr>
          <w:trHeight w:val="21"/>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December 2020, the Company entered into a Series A-2 Preferred Stock Purchase Agreement with Artizan Biosciences Inc. ("Artizan"). Under the agreement, the Company paid Artizan 61,494 shares of the Parent’s common shares valued at $6,000, which were issued in January 2021. In exchange, the Company acquired 34,472,031 shares of series A-2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240"/>
          </w:cols>
          <w:pgMar w:left="320" w:top="117" w:right="339" w:bottom="1440" w:gutter="0" w:footer="0" w:header="0"/>
          <w:type w:val="continuous"/>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preferred stock of Artizan. The Company determined that it was not practical to estimate the fair value of this investment as it represents Series A-2 Preferred Stock of an unlisted company. On a routine basis the Company will determine if additional preferred shares of the unlisted company have been issued and will adjust the carrying value of its Series A-2 Preferred Stock investment accordingly. See Note 6 “License Agreements” for additional details on the Artizan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Series A-2 Preferred Stock Investment</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37,160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Contingently Redeemable Non-controlling Interest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2020, the Company's Asia-Pacific Subsidiary, BioShin Limited (“BioShin”), authorized, issued and sold 15,384,613 BioShin Series A Preferred Shares at a price of $3.90 per share for a total of $60,000 to a group of investors led by OrbiMed, with participation from Cormorant Asset Management LLC, HBM Healthcare Investments Ltd, Surveyor Capital (a Citadel Company), and Suvretta Capital Management, LLC (the "BioShin Investors"). The BioShin Series A Preferred Shares contained both a call option by the Company and a put option held by the BioShin Investors. Due to the contingently redeemable features, the Company had classified the BioShin Series A Preferred Shares in mezzanine equity since the redemption was out of the Company's control.</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2021, the Company, Biohaven Therapeutics Ltd. (“BTL”), Atlas Merger Sub and BioShin entered into an Agreement and Plan of Merger (the “BioShin Merger Agreement”). The BioShin Merger Agreement provided for the merger of Atlas Merger Sub with and into BioShin, with BioShin surviving the merger as a wholly owned indirect subsidiary of the Parent, in accordance with Section 233 of the Cayman Islands Companies Act. As a result of the satisfaction of the closing conditions described in the BioShin Merger Agreement, on January 6, 2022, each Series A convertible preferred share of BioShin, no par value, other than Excluded Shares (as defined in the BioShin Merger Agreement), was converted into the right to receive 0.080121 of the Parent’s common shares.</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January 4, 2021, the Company acquired Kleo Pharmaceuticals, Inc. (“Kleo”). Kleo is a development-stage biopharmaceutical company focused on advancing the field of immunotherapy by developing small molecules that emulate biologics. The transaction was accounted for as the acquisition of a business using the acquisition method of accounting.</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total fair value of the consideration transferred was $20,043, which primarily consisted of the issuance of a total of 115,836 common shares of the Parent to Kleo stockholders and contingent consideration in the form of a contingent value right to receive one dollar in cash for each Kleo share if certain specified Kleo biopharmaceutical products or product candidates receive the approval of the FDA prior to the expiration of 30 months following the effective time of the transaction. The maximum amount payable pursuant to the contingent value right was approximately $17,300. At December 31, 2021, the Company determined the value of the contingent value right to be immaterial and recognized a gain of $1,457 related to the contingent value right in other income (expense).</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transaction, the Company owned approximately 41.9% of the outstanding shares of Kleo and accounted for it as an equity method investment. As part of the transaction, the Company acquired the remainder of the shares of Kleo, and post-transaction the Company owns 100% of the outstanding shares of Kleo. The carrying value of the Company’s investment in Kleo was $1,176 immediately prior to the acquisition date. The Company determined the fair value of the existing interest was $6,437, and recognized a gain from its equity method investment of $5,261 for the year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1240"/>
          </w:cols>
          <w:pgMar w:left="320" w:top="117" w:right="339" w:bottom="1440" w:gutter="0" w:footer="0" w:header="0"/>
          <w:type w:val="continuous"/>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ended December 31, 2021 as a result of remeasuring to fair value the existing equity interest in Kleo, which was included as Gain (loss) from equity method investment on the combined statements of operations and comprehensive loss.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the Company recorded: net working capital of $573; property, plant and equipment of $1,257; intangible assets consisting of in progress research and development assets of $18,400 which include an oncology therapeutic candidate entering Phase I clinical trials and a COVID-19 therapeutic candidate in the planning stage for clinical development; debt assumed of $1,577; and goodwill of $1,390. The goodwill is primarily attributable to the acquired workforce.</w:t>
      </w:r>
    </w:p>
    <w:p>
      <w:pPr>
        <w:spacing w:after="0" w:line="12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Kleo’s employees, other than its President and Chief Financial Officer, were retained as part of the transaction. In connection with the transaction agreement, the Company filed a registration statement permitting Kleo stockholders to offer and sell the common shares of the Company issued in the transaction.</w:t>
      </w:r>
    </w:p>
    <w:p>
      <w:pPr>
        <w:spacing w:after="0" w:line="118" w:lineRule="exact"/>
        <w:rPr>
          <w:sz w:val="20"/>
          <w:szCs w:val="20"/>
          <w:color w:val="auto"/>
        </w:rPr>
      </w:pPr>
    </w:p>
    <w:p>
      <w:pPr>
        <w:ind w:left="360" w:hanging="352"/>
        <w:spacing w:after="0"/>
        <w:tabs>
          <w:tab w:leader="none" w:pos="3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Parent has share-based compensation plans under which it may issue common shares or restricted common shares, or grant incentive stock options or nonqualified stock options for the purchase of common shares, to employees, members of the board of directors and consultants of the Parent. The Parent also has an Employee Share Purchase Plan (the “ESPP”) which allows eligible employee who are participating in the plan to purchase shares of the Parent at a discount.</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Share-based compensation has been allocated to the Company by using a combination of specific identification and a proportionate cost allocation method based on employee hours or directly identified operating expenses, depending on the employee’s function. The amounts presented are not necessarily indicative of future awards and do not necessarily reflect the costs that the Company would have incurred as an independent company for the periods presented.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Share-based compensation under the Parent’s share-based compensation plans is measured at the grant date based on the fair value of the award and is recognized as expense over the requisite service period of the award (generally three to four years) using the straight-line method. Share-based compensation expense attributed to the Company by classification included within in the combined statements of operations and comprehensive loss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39,381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18,475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26,258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11,025</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65,639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29,500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License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Yale Agreement</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September 2013, the Company entered into an exclusive license agreement (the "Yale Agreement") with Yale University to obtain a license to certain patent rights for the commercial development, manufacture, distribution, use and sale of products and processes resulting from the development of those patent rights, related to the use of riluzole in treating various neurological conditions, such as general anxiety disorder, post-traumatic stress disorder and depression. As part of the consideration for this license, the Company issued Yale 250,000 common shares of the Parent and granted Yale the right to purchase up to 10% of the securities issued in specified future equity offerings by the Parent, in addition to the obligation to issue shares to prevent anti-dilution. The obligation to contingently issue equity to Yale was no longer outstanding as of December 31, 2018.</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Yale Agreement was amended and restated in May 2019. As amended, the Company agreed to pay Yale up to $2,000 upon the achievement of specified regulatory milestones and annual royalty payments of a low single-digit percentage based on net sales of riluzole-based products from the licensed patents or from products based on troriluzole. Under the amended and restated agreement, the royalty rates are reduced as compared to the original agreement. In addition, under the amended and restated agreement, the Company may develop products based on riluzole or troriluzole. The amended and restated agreement retains a minimum annual royalty of up to $1,000 per year, beginning after the first sale of product under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1240"/>
          </w:cols>
          <w:pgMar w:left="320" w:top="117" w:right="339" w:bottom="1440" w:gutter="0" w:footer="0" w:header="0"/>
          <w:type w:val="continuous"/>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agreement. If the Company grants any sublicense rights under the Yale Agreement, it must pay Yale a low single-digit percentage of sublicense income that it receives.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2021, the Company entered a worldwide, exclusive license agreement with Yale University for the development and commercialization of a novel Molecular Degrader of Extracellular Protein ("MoDE") platform (the "Yale MoDE Agreement"). Under the license agreement, the Company acquired exclusive, worldwide rights to Yale's intellectual property directed to its MoDE platform. The platform pertains to the clearance of disease-causing protein and other biomolecules by targeting them for lysosomal degradation using multi-functional molecules. As part of consideration for this license, the Company paid Yale University an upfront cash payment of $1,000 and 11,668 shares of the Parent valued at approximately $1,000. Under the agreement, the Company may develop products based on the MoDE platform. The agreement includes an obligation to pay a minimum annual royalty of up to $1,000 per year, and low single digit royalties on the net sales of licensed products. If the Company grants any sublicense rights under the Yale Agreement, it must pay Yale a low single-digit percentage of sublicense income that it receives. In addition, Yale University will be eligible to receive additional development milestone payments of up to $800 and commercial milestone payments of up to $2,950. The agreement terminates on the later of twenty years from the effective date, twenty years from the filing date of the first investigational new drug application for a licensed product or the last to expire of a licensed patent.</w:t>
      </w:r>
    </w:p>
    <w:p>
      <w:pPr>
        <w:spacing w:after="0" w:line="13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2021, in addition to the development milestone payments noted above, the Company recorded $150 in research and development expense related to Yale MoDE Agreement following the initiation of a certain Phase 1 clinical trial. For the year ended December 31, 2020, the Company did not record any material expense or make any milestone or royalty payments under the Yale Agreement or the Yale MoDE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ALS Biopharma Agreement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August 2015, the Company entered into an agreement (the "ALS Biopharma Agreement") with ALS Biopharma and Fox Chase Chemical Diversity Center Inc. ("FCCDC"), pursuant to which ALS Biopharma and FCCDC assigned the Company their worldwide patent rights to a family of over 300 prodrugs of glutamate modulating agents, including troriluzole, as well as other innovative technologies. Under the ALS Biopharma Agreement, the Company is obligated to use commercially reasonable efforts to commercialize and develop markets for the patent products. The Company is obligated to pay $3,000 upon the achievement of specified regulatory milestones with respect to the first licensed product and $1,000 upon the achievement of specified regulatory milestones with respect to subsequently developed products, as well as royalty payments of a low single-digit percentage based on net sales of products licensed under the agreement, payable on a quarterly basis.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ALS Biopharma Agreement terminates on a country-by-country basis as the last patent rights expire in each such country. If the Company abandons its development, research, licensing or sale of all products covered by one or more claims of any patent or patent application assigned under the ALS Biopharma Agreement, or if the Company ceases operations, it has agreed to reassign the applicable patent rights back to ALS Biopharma.</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Company did not record any expense or make any milestone or royalty payments under the ALS Biopharma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AstraZeneca Agreement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October 2016, the Company entered into an exclusive license agreement (the "2016 AstraZeneca Agreement") with AstraZeneca, pursuant to which AstraZeneca granted the Company a license to certain patent rights for the commercial development, manufacture, distribution and use of any products or processes resulting from development of those patent rights, including BHV-5000 and BHV-5500. In exchange for these rights, the Company agreed to pay AstraZeneca an upfront payment, milestone payments and royalties on net sales of licensed products under the agreement. The regulatory milestones due under the 2016 AstraZeneca Agreement depend on the indication of the licensed product being developed as well as the territory where regulatory approval is obtained.</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Development milestones due under the 2016 AstraZeneca Agreement with respect to Rett syndrome total up to $30,000, and, for any indication other than Rett syndrome, total up to $60,000. Commercial milestones are based on net sales of all products licensed under the agreement and total up to $120,000. The Company has also agreed to pay royalties in two tiers,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17" w:right="33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each tiered royalty in the range from 0-10% of net sales of products licensed under the agreement. If the Company receives revenue from sublicensing any of its rights under the 2016 AstraZeneca Agreement, the Company is also obligated to pay a portion of that revenue to AstraZeneca. The Company is also required to reimburse AstraZeneca for any fees that AstraZeneca incurs related to the filing, prosecution, defending, and maintenance of patent rights licensed under the 2016 AstraZeneca Agreement.</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2016 AstraZeneca Agreement expires upon the expiration of the patent rights under the agreement or on a country-by-country basis ten years after the first commercial sale and can also be terminated if certain events occur, e.g., material breach or insolvency.</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Company did not record any expense or make any milestone or royalty payments under the 2016 AstraZeneca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AstraZeneca Agreement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2018, the Company entered into an exclusive license agreement (the "2018 AstraZeneca Agreement") with AstraZeneca, pursuant to which AstraZeneca granted the Company a license to certain patent rights for the commercial development, manufacture, distribution and use of any products or processes resulting from development of those patent rights, including BHV-3241. Under the 2018 AstraZeneca Agreement, the Company paid AstraZeneca an upfront cash payment of $3,000 and 109,523 shares valued at $4,080 on the date of settlement, both of which were included in research and development expense, and is obligated to pay milestone payments to AstraZeneca totaling up to $55,000 upon the achievement of specified regulatory and commercial milestones and up to $50,000 upon the achievement of specified sales-based milestones. In addition, the Company will pay AstraZeneca royalties in three tiers, with each tiered royalty in the range from 0-10% of net sales of specified approved products, subject to specified reductions.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2021, the Company completed enrollment in a Phase 3 clinical trial of this product candidate, which is now referred to as verdiperstat, for the treatment of Amyotrophic Lateral Sclerosis ("ALS"). ALS is a progressive, life-threatening, and rare neuromuscular disease for which there are currently limited treatment options and no cure. The Company is solely responsible, and has agreed to use commercially reasonable efforts, for all development, regulatory and commercial activities related to verdiperstat. The Company may sublicense its rights under the agreement and, if it does so, will be obligated to pay a portion of any milestone payments received from the sublicense to AstraZeneca in addition to any milestone payments it would otherwise be obligated to pay.</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2018 AstraZeneca Agreement terminates on a country-by-country basis and product-by-product basis upon the expiration of the royalty term for such product in such country and can also be terminated if certain events occur, e.g., material breach or insolvency.</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Company did not record any material expense or make any milestone or royalty payments under the 2018 AstraZeneca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Fox Chase Chemical Diversity Center Inc. Agreement</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May 2019, the Company entered into the FCCDC Agreement in which the Company purchased certain intellectual property relating to the TDP-43 protein from FCCDC. The FCCDC Agreement provides the Company with a plan and goal to identify one or more new chemical entity candidates for preclinical development for eventual clinical evaluation for the treatment of one or more TDP-43 proteinopathies. As consideration, the Company issued 100,000 of the Parent’s common shares to FCCDC valued at $5,646.</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Company is obligated to pay FCCDC milestone payments totaling up to $4,500 with $1,000 for each additional NDA filing. The Company also issued a warrant to FCCDC, granting FCCDC the option to purchase up to 100,000 of the Parent’s common shares, at a strike price of $56.46 per share, subject to vesting upon achievement of certain milestones in development of TD-43.</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FCCDC Agreement, the Company and FCCDC have established a TDP-43 Research Plan, which was amended in November 2020, that provides for certain milestones to be achieved by FCCDC, and milestone payments to be made by the Company up to approximately $3,800 over a period of up to 30 months as success fees for research activities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FCCDC. In addition to the milestone payments, the Company will pay FCCDC an earned royalty equal to 0% to 10% of net sales of any TD-43 patent products with a valid claim as defined in the FCCDC Agreement. The Company may also license the rights developed under the FCCDC Agreement and, if it does so, will be obligated to pay a portion of any payments received from such licensee to FCCDC in addition to any milestones it would otherwise be obligated to pay. The Company is also responsible for the prosecution and maintenance of the patents related to the TDP-43 assets.</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FCCDC Agreement terminates on a country-by-country basis and product-by-product basis upon expiration of the royalty term for such product in such country and can also be terminated if certain events occur, e.g., material breach or insolvency.</w:t>
      </w:r>
    </w:p>
    <w:p>
      <w:pPr>
        <w:spacing w:after="0" w:line="10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recorded $1,746 and $1,500 in research and development expense in the combined statements of operations related to the FCCDC Agreement during the years ended December 31, 2021 and 2020,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UConn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2018, the Company announced it had signed an exclusive, worldwide option and license agreement (the “UConn Agreement”) with</w:t>
      </w:r>
    </w:p>
    <w:p>
      <w:pPr>
        <w:spacing w:after="0" w:line="27"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the University of Connecticut (“UConn”) for the development and commercialization rights to UC1MT, a therapeutic antibody targeting extracellular metallothionein. Under this agreement, the Company has the option to acquire an exclusive, worldwide license to UC1MT and its underlying patents to develop and commercialize throughout the world in all human indications. If the Company chooses to exercise the option, it would be obligated to pay UConn upon the achievement of specified regulatory and commercial milestones, and royalties of a low single-digit percentage of net sales of licensed products sold by the Company, its affiliates or its sublicensees.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Artizan Agreement</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December 2020, BTL entered into an Option and License Agreement with Artizan Biosciences Inc (the "2020 Artizan Agreement"). Pursuant to the 2020 Artizan Agreement, BTL acquired an option (“Biohaven Option”) to obtain a royalty-based license from Artizan to manufacture, use and commercialize certain products in the United States for the treatment of diseases, including, for example, inflammatory bowel disease and other gastrointestinal inflammatory disorders, e.g., Crohn’s disease. The Biohaven Option is exercisable throughout the development phase of the products at an exercise price of approximately $4,000 to $8,000, which varies based on the market potential of the products. BTL and Artizan have also formed a joint steering committee to oversee, review and coordinate the product development activities with regard to all products for which BTL has (or has exercised in the future) the Biohaven Option.</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December 2020, simultaneously with the Option and License Agreement, the Company entered into a Series A-2 Preferred Stock Purchase Agreement with Artizan. Under the agreement, the Company paid Artizan 61,494 of the Parent’s common shares valued at $6,000, which were issued in January 2021. In exchange, the Company acquired 34,472,031 shares of series A-2 preferred stock of Artizan.</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2021, BTL entered into a Development and License Agreement with Artizan Biosciences Inc (the "2021 Artizan Agreement"). Pursuant to the 2021 Artizan Agreement, BTL acquired an exclusive, worldwide license under Artizan’s IgA-SEQ patented technology and know-how to develop, manufacture and commercialize certain of Artizan’s compounds for use in Parkinson’s Disease. Under the agreement, BTL is responsible for funding the development of the compounds, obtaining regulatory approvals, manufacturing the compounds and commercializing the compounds. BTL is also responsible for the prosecution, maintenance and enforcement of Artizan’s patents. BTL will pay Artizan development milestones of $20,000 for the first licensed compound to achieve U.S. marketing authorization and $10,000 for each subsequent U.S. approval. In addition, BTL will pay Artizan commercialization milestones totaling up to $150,000 and royalties in the low to mid single digits. The 2021 Artizan Agreement terminates on a country-by-country basis on the later of 10 years from the first commercial sale of licensed product in such country or the expiration of Artizan’s patents in such country and can also be terminated if certain events occur, e.g., material breach or insolvency.</w:t>
      </w:r>
    </w:p>
    <w:p>
      <w:pPr>
        <w:spacing w:after="0" w:line="1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an Amendment to the Series A-2 Preferred Stock Purchase Agreement with Artizan. Under the Amendment, the Company made a cash payment of $4,000 in exchange for 22,975,301 shares of series A-2 preferred stock of Artizan out of a total of 45,950,601 shares of series A-2 preferred stock of Artizan for a total raise of $8,000 (the “A2 Extension Raise”). Along with the Amendment, the Company and Artizan executed a non-binding indication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interest (“Artizan Side Letter”) which describes terms under which BTL and Artizan would amend the 2020 Artizan Agreement to eliminate certain milestone payments required by us in exchange for limiting our option to the selection of the first (ARZC-001) licensed product. The Artizan Side Letter requires Artizan to commit at least 80% of the funds raised in the A-2 Extension Raise to a certain program and to raise $35,000 of additional capital within a certain time.</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Company did not record any research and development expense or make any milestone payments related to the Artizan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Moda Agreement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1, 2021, the Company entered into a consulting services agreement with Moda Pharmaceuticals LLC (the "Moda Agreement") to further the scientific advancement of technology, drug discovery platforms (including the technology licensed under the Yale MoDE Agreement), product candidates and related intellectual property owned or controlled by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Moda Agreement, the Company paid Moda an upfront cash payment of $2,700 and 37,836 shares of the Parent valued at approximately $3,243.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Moda will be eligible to receive additional development milestone payments of up to $81,612 and commercial milestone payments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$30,171. The Moda Agreement has a term of four years and may be terminated earlier by the Company or Moda under certain circumstances including,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 the Company's discontinuation of research on the MoDE platform or default.</w:t>
      </w:r>
    </w:p>
    <w:p>
      <w:pPr>
        <w:spacing w:after="0" w:line="1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Company did not record any material research and development expense or make any milestone payments related to the Moda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Reliant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2021, the Company entered into the Reliant Agreement pursuant to which the Company and Reliant have agreed to collaborate on a program with Biohaven Labs’ multifunctional molecules to develop and commercialize conjugated antibodies for therapeutic uses relating to IgA nephropathy and treatment of other diseases and conditions. Under the Reliant Agreement, the Company paid Reliant an upfront payment in the form of issuance of common shares valued at approximately $3,686, which the Company recorded as research and development expense on its combined statement of operations and comprehensive loss. In addition, Reliant will be eligible to receive development and regulatory milestone payments of up to $36,500, and royalties of a low single-digit percentage of net sales of licensed products.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excluding the upfront payment noted above, the Company recorded $167 in research and development expense related to the Reliant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 Leuven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2022, the Company and Katholieke Universiteit Leuven ("KU Leuven") entered into an Exclusive License and Research Collaboration Agreement (the "KU Leuven Agreement") to develop and commercialize TRPM3 antagonists to address the growing proportion of people worldwide living with chronic pain disorders. The TRPM3 antagonist platform was discovered at the Centre for Drug Design and Discovery ("CD3") and the Laboratory of Ion Channel Research ("LICR") at KU Leuven. Under the KU Leuven Agreement, the Company receives exclusive global rights to develop, manufacture and commercialize KU Leuven's portfolio of small-molecule TRPM3 antagonists. The portfolio includes the lead candidate, henceforth known as BHV-2100, which is being evaluated in preclinical pain models and will be the first to advance towards Phase 1 studies. The Company will support further basic and translational research at KU Leuven on the role of TRPM3 in pain and other disorders. As consideration, KU Leuven received an upfront cash payment of $3,000 and 15,340 shares valued at $1,779, and is eligible to receive additional development, regulatory, and commercialization milestones payments of up to $327,750. In addition, KU Leuven will be eligible to receive mid-single digit royalties on net sales of products resulting from the collaboration.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Taldefgrobep Alfa License Agreement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February 2022, following the transfer of intellectual property the Company announced that it entered into a worldwide license agreement with BMS for the development and commercialization rights to taldefgrobep alfa (also known 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BMS-986089), a novel, Phase 3-ready anti-myostatin adnectin (the "Taldefgrobep Alfa License Agreement"). Under the terms of the Taldefgrobep Alfa License Agreement, the Company will receive worldwide rights to taldefgrobep alfa and BMS will be eligible for regulatory approval milestone payments of up to $200,000, as well as tiered, sales-based royalty percentages from the high teens to the low twenties. There were no upfront or contingent payments to BMS related to the Taldefgrobep Alfa License Agreement.</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income tax amounts in the combined financial statements have been calculated on a separate return method and are presented as if the Company’s operations were separate taxpayers in the respective jurisdiction. Therefore, tax expense, cash tax payments, and items of current and deferred taxes may not be reflective of the Company’s actual tax balances prior to or subsequent to the distribution.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company incorporated in the British Virgin Islands (“BVI”), we are principally subject to taxation in the BVI. Under the current laws of the BVI, the Company and all dividends, interest, rents, royalties, compensation and other amounts paid by the Company to persons who are not resident in the BVI and any capital gains realized with respect to any shares, debt obligations, or other securities of the Company by persons who are not resident in the BVI are exempt from all provisions of the Income Tax Ordinance in the BVI.</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Parent has historically outsourced all of the research and clinical development for its programs under a master services agreement with Biohaven Pharmaceuticals, Inc. (“BPI”). As a result of providing services under this agreement, BPI was profitable during the years ended December 31, 2021 and 2020, and BPI is subject to taxation in the United States. As such, in each reporting period, the Biohaven Research Business tax provision includes the effects of consolidating the results of operations of BPI.</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December 31, 2021 and 2020, the Company continued to maintain a full valuation allowance against its net deferred tax assets, which are comprised primarily of research and development credit carryforwards and future stock based compensation deductions based on management’s assessment that it is more likely than not that the deferred tax assets will not be realized.</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provision during the years ended December 31, 2021 and 2020 of $1,366 and $0, respectively, which primarily represents U.S. Federal and state taxes related to the Company’s profitable operations of BPI in the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provision for income taxes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BVI</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(123,468)</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6"/>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BVI</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(U.S. federal and 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BVI</w:t>
            </w:r>
          </w:p>
        </w:tc>
        <w:tc>
          <w:tcPr>
            <w:tcW w:w="320" w:type="dxa"/>
            <w:vAlign w:val="bottom"/>
          </w:tcPr>
          <w:p>
            <w:pPr>
              <w:spacing w:after="0"/>
              <w:rPr>
                <w:sz w:val="19"/>
                <w:szCs w:val="19"/>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(U.S. federal and state)</w:t>
            </w: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deferred income tax provision (benefit)</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BVI statutory income tax rate of 0% to the Company’s effective income tax rate is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8"/>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BVI statutory income tax rate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20" w:type="dxa"/>
            <w:vAlign w:val="bottom"/>
          </w:tcPr>
          <w:p>
            <w:pPr>
              <w:spacing w:after="0"/>
              <w:rPr>
                <w:sz w:val="19"/>
                <w:szCs w:val="19"/>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 (liabilities) consisted of the following: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1"/>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r>
      <w:tr>
        <w:trPr>
          <w:trHeight w:val="37"/>
        </w:trPr>
        <w:tc>
          <w:tcPr>
            <w:tcW w:w="7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r>
      <w:tr>
        <w:trPr>
          <w:trHeight w:val="230"/>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3"/>
        </w:trPr>
        <w:tc>
          <w:tcPr>
            <w:tcW w:w="8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w:t>
            </w:r>
          </w:p>
        </w:tc>
      </w:tr>
      <w:tr>
        <w:trPr>
          <w:trHeight w:val="23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(32,970)</w:t>
            </w:r>
          </w:p>
        </w:tc>
      </w:tr>
      <w:tr>
        <w:trPr>
          <w:trHeight w:val="223"/>
        </w:trPr>
        <w:tc>
          <w:tcPr>
            <w:tcW w:w="8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Intangible assets and 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8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January 2021, the Company completed the acquisition of Kleo and recorded a full valuation allowance against its Kleo deferred tax assets due to Kleo's cumulative loss history. The Company will continue to evaluate the need for a valuation allowance on all of its deferred tax assets until there is sufficient positive evidence to support the reversal of all or some portion of these allowances.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the Company had foreign net operating loss carryforwards of $39,281, and, $0, respectively. As of December 31, 2021 and 2020, the Company had federal and state research and development and orphan drug credits of $26,590 and $20,577, respectively, which begin to expire in 2030.</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2021and 2020 were due primarily to generation of excess tax credits and the acquisition of Kleo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3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recorded to Purchase Accounting and Net Parent Investment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followed the authoritative guidance for recognizing and measuring uncertainty in income taxes for tax positions taken or expected to be taken in a tax return. The beginning and ending amounts of unrecognized tax benefits reconciles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for tax positions taken during the current period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recorded to Purchase Accounting and Net Parent Investment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Decreases for tax positions taken during a prior period</w:t>
            </w:r>
          </w:p>
        </w:tc>
        <w:tc>
          <w:tcPr>
            <w:tcW w:w="9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balance</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unrecognized tax benefits relate primarily to issues common among multinational corporations. All of these unrecognized tax benefits, if recognized, would impact the Company's effective income tax rate. The Company's policy is to record interest and penalties related to income taxes as part of its income tax provision. As of December 31, 2021 and 2020, the total amount of accrued interest and penalties were not significant.</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BPI files income tax returns in the U.S. and certain state jurisdictions. BPI’s U.S. federal and state income tax returns are subject to tax examinations for the tax year ended December 31, 2018 and subsequent years. The federal tax return for BPI is currently under audit by the IRS for the period ended December 31, 2019.</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agreements are either current Company agreements, or those the Parent expects to assign to the Company upon separation, accordingly, all considerations paid by the Parent in association with these agreements are recorded in the combined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7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Parent’s leases primarily consist of office space that will be attributed to the Company in connection with the separation. The Company determines if an arrangement is a lease at inception. The lease term includes options to extend or terminate the lease when it is reasonably certain that the Company will exercise that option. Real estate leases for facilities have an average remaining lease term of 5.75 years, for which none include the optional extension. The Company has made an accounting policy election not to record short-term leases (leases with an initial term of 12 months or less) on the balance sheet. The Company currently has two short-term leases with immaterial lease expense.</w:t>
      </w:r>
    </w:p>
    <w:p>
      <w:pPr>
        <w:spacing w:after="0" w:line="1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 payments is recognized on a straight-line basis over the term of the lease. Operating lease assets and liabilities are recognized based on the present value of lease payments over the lease term. Since most of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240"/>
          </w:cols>
          <w:pgMar w:left="320" w:top="117" w:right="339" w:bottom="1440"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Company’s leases do not have a readily determinable implicit discount rate, the Company uses the Parent’s incremental borrowing rate to calculate the present value of lease payments. The Company does not separate lease components (e.g., payments for rent, real estate taxes and insurance costs) from non-lease components (e.g., common-area maintenance costs) in the event that the agreement contains both. The Company includes both the lease and non-lease components for purposes of calculating the right-of-use asset and related lease liability (if the non-lease components are fixed). The allocated operating lease cost was $264 in 2021 and $0 in 2020.</w:t>
      </w:r>
    </w:p>
    <w:p>
      <w:pPr>
        <w:spacing w:after="0" w:line="1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contain variable lease payments that are adjusted for actual operating expense true-ups compared with estimated amounts; however, these amounts are immaterial. The Company had no sublease income and there are no sale-leaseback transactions. The Company’s lease agreements do not contain any material residual value guarantees or material restrictive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6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5,981</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2,929</w:t>
            </w:r>
          </w:p>
        </w:tc>
      </w:tr>
      <w:tr>
        <w:trPr>
          <w:trHeight w:val="223"/>
        </w:trPr>
        <w:tc>
          <w:tcPr>
            <w:tcW w:w="798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468"/>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9"/>
        </w:trPr>
        <w:tc>
          <w:tcPr>
            <w:tcW w:w="7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Commitments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Parent has entered into agreements with several CROs to provide services in connection with the Company’s preclinical studies and clinical trials. Research Commitments entered into by the Parent and related to the Company are expected to transfer to the Company upon separation. As of December 31, 2021, the Company had no material noncancellable research commitments in excess of one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1240"/>
          </w:cols>
          <w:pgMar w:left="320" w:top="117" w:right="339" w:bottom="1440" w:gutter="0" w:footer="0" w:header="0"/>
          <w:type w:val="continuous"/>
        </w:sectPr>
      </w:pPr>
    </w:p>
    <w:bookmarkStart w:id="213" w:name="page214"/>
    <w:bookmarkEnd w:id="2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officers. The maximum potential amount of future payments the Company could be required to make under these indemnification agreements is, in many cases, unlimited. The Company’s amended and restated memorandum and articles of association also provide for indemnification of directors and officers in specific circumstances. To date, the Company has not incurred any material costs as a result of such indemnification provisions. The Company does not believe that the outcome of any claims under indemnification arrangements will have a material effect on its financial position, results of operations or cash flows, and it has not accrued any liabilities related to such obligations in its combined financial statements as of December 31, 2021 or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Parent entered into license agreements with various parties that are directly attributed to the Company under which it is obligated to make contingent and non-contingent payments (see Note 6). License agreements entered by the Parent and related to the Company are expected to transfer to the Company upon separation.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Sixth Street Financing Agreement</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August 2020, the Parent and Biohaven Pharmaceuticals, Inc., (together with the Parent the "Borrowers"), entered into a financing agreement, as amended, with Sixth Street Specialty Lending, Inc., as administrative agent, and the lenders party thereto (the "Lenders") pursuant to which the Lenders agreed to extend a senior secured credit facility to the Borrowers (the “Sixth Street Financing Agreement”). The Sixth Street Financing Agreement, as amended, provides for term loans in an aggregate principal amount up to $750,000, plus any capitalized interest paid in kind (the “Sixth Street Financing Agreement”) and is accounted for as third-party, long-term debt by the Parent.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co-obligor, jointly and severally with the Parent on its third-party long-term debt obligation under the Sixth Street Financing Agreement. The Parent’s third-party debt and related interest expense are not reflected in the combined financial statements because the Company has not agreed to pay a specified amount of the borrowings on the basis of its arrangement with the Parent, nor is the Company expected to pay any portion of the Parent’s third-party debt, and the borrowings are not specifically identifiable to SpinCo. Pursuant to the terms of the Merger Agreement, at closing of the Merger, Pfizer will pay off or cause to be paid off the applicable payoff amount on behalf of the Parent.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is subject to litigation and regulatory examinations as well as information gathering requests, inquiries and investigations. As of December 31, 2021, there were no matters which would have a material impact on the Company’s financial results.</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has not historically operated as a standalone business and the combined financial statements are derived from the consolidated financial statements and accounting records of the Parent. The following disclosure summarizes activity between the Company and the Parent, including the affiliates of the Parent that are not part of the planned spin-off.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Allocations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reflect allocations of certain expenses from the financial statements of the Parent, including research and development expenses and general and administrative expenses. These allocations include, but are not limited to, executive management, employee compensation and benefits, facilities and operations, information technology, business development, financial services (such as accounting, audit, and tax), legal, insurance, and share-based compensation. Some of these services are expected to continue to be provided to the Parent on a temporary basis following the Distribution under a transition services agreement. See Note 2 for discussion of these costs and the methodology used to allocate them.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20"/>
          </w:cols>
          <w:pgMar w:left="320" w:top="117" w:right="35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allocations to SpinCo are reflected in the combined statement of operations and comprehensive loss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 believes these cost allocations are a reasonable reflection of services provided to, of the benefit derived by, the Company during the periods presented. The allocations may not, however, be indicative of the actual expenses that would have been incurred had the Company operated as a standalone public company. Actual costs that may have been incurred if the Company had been a standalone public company would depend on a number of factors, including the chosen organizational structure, whether functions were outsourced or performed by Company employees, and strategic decisions made in areas such as research and development, information technology and infrastructure.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discussed in Note 5, Share-based compensation, SpinCo employees participate in the Parent’s share-based compensation plans, the costs of which have been allocated to SpinCo and recorded in research and development and general and administrative expenses in the combined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Transfers From Parent</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Net transfers from Parent represent the net effect of transactions between SpinCo and the Parent. The components of net transfers from Parent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73,614</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cost allocations, excluding share-based compensation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18,628</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from Parent as reflected in the Combined Statement of Cash Flows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92,242</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business acquisition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license and consulting agreements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building purchase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Artizan investment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Parent as reflected in the Combined Statement of Changes in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120,998</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Yale</w:t>
      </w:r>
    </w:p>
    <w:p>
      <w:pPr>
        <w:spacing w:after="0" w:line="17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September 30, 2013, the Company entered into the Yale Agreement with Yale (see Note 6). The Company’s Chief Executive Officer is one of the inventors of the patents that the Company has licensed from Yale and, as such, is entitled to a specified share of the glutamate product-related royalty revenues that may be received by Yale under the Yale Agreement.</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January 2021, the Company entered into the Yale MoDE Agreement with Yale (see Note 6 for detail). Under the license agreement, the Company acquired exclusive, worldwide rights to Yale's intellectual property directed to its MoDE platform. As part of consideration for this license, the Company paid Yale University an upfront cash payment of $1,000 and 11,668 common shares of the Parent valued at approximately $1,000. Additionally, in the fourth quarter of 2021, the Company paid a $150 development milestone to Yale following the initiation of a Phase I clinical trial.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1240"/>
          </w:cols>
          <w:pgMar w:left="320" w:top="117" w:right="339" w:bottom="1440" w:gutter="0" w:footer="0" w:header="0"/>
          <w:type w:val="continuous"/>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and 2020, excluding the development milestone payment noted above, the Company recorded $458 and $138 in research and development expense related to the Yale MoDE Agreement and Yale Agreement (the "Yale Agreements"). As of December 31, 2021 and 2020, the Company owed no amounts to Yale.</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evaluated subsequent events through July 1, 2022, the date on which these combined financial statements were available to be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Kv7 Platform Acquisition</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2022, the Company closed the acquisition from Knopp Biosciences LLC (“Knopp”) of Channel Biosciences, LLC (“Channel”), a wholly owned subsidiary of Knopp owning the assets of Knopp’s Kv7 channel targeting platform (the “Transaction”), pursuant to a Membership Interest Purchase Agreement (the “Purchase Agreement”), dated February 24, 2022.</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consideration for the Transaction, on April 4, 2022, the Company made an upfront payment comprised of $35,000 in cash and 493,254 common shares of the Parent, valued at approximately $58,750, issued through a private placement. The Company has also agreed to pay additional success-based payments comprised of (i) up to $325,000 based on developmental and regulatory milestones through approvals in the United States, EMEA and Japan for the lead asset, BHV-7000 (formerly known as KB-3061), (ii) up to an additional $250,000 based on developmental and regulatory milestones for the Kv7 pipeline development in other indications and additional country approvals, and (iii) up to $562,500 for commercial sales-based milestones of BHV-7000. Additionally, the Company has agreed to make scaled royalty payments in cash for BHV-7000 and the pipeline programs, starting at high single digits and peaking at low teens for BHV-7000 and starting at mid-single digits and peaking at low tens digits for the pipeline programs.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expects to account for this purchase as an asset acquisition as substantially all of the fair value of the gross assets acquired was concentrated in a single identifiable asset, in-process research and development (“IPR&amp;D”). The IPR&amp;D asset has no alternative future use and relates to intellectual property rights related to the Kv7 platform lead, now BHV-7000.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Leases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May 2022, the Company entered into a sublease for office space in Dublin, Ireland to replace an existing license agreement for separate office space. The lease commenced in May 2022 and the lease has a lease term of 59 full calendar months, with no contractual option to extend at the end of the lease term. Upon commencement, the Company’s base rent per quarter will be €100 to be paid in advance, with no open market rent review until termination of the lease. The Company will also be responsible for its proportionate share of operating costs, including, but not limited to, real estate taxes, common area maintenance, and utilities.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 lease agreement for office space in West Palm Beach, Florida to support its operations, which will be attributed to the Company in connection with the separation. The Company expects to take occupancy of the premises in late 2024, following substantial completion of the tenant improvements. The lease term will commence on the date the Company takes occupancy of the premises and continue for 120 full calendar months, with an option to extend for two additional periods of 60 months each. Upon commencement, the Company’s base rent per month will be $105 to be paid in advance, with annual base rent increases of 3.00%. In addition, there is a rent abatement period for the first three full calendar months of the lease term. The Company will also be responsible for its proportionate share of operating costs, including, but not limited to, real estate taxes, common area maintenance, and utilities.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20"/>
          </w:cols>
          <w:pgMar w:left="320" w:top="117" w:right="35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Contingently redeemable non-controlling interests</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investment from Parent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142,061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251"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92,695</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(112,525)</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from equity method investment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(107,545)</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51"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7480" w:type="dxa"/>
            <w:vAlign w:val="bottom"/>
            <w:gridSpan w:val="2"/>
          </w:tcPr>
          <w:p>
            <w:pPr>
              <w:jc w:val="center"/>
              <w:ind w:right="1376"/>
              <w:spacing w:after="0"/>
              <w:rPr>
                <w:sz w:val="20"/>
                <w:szCs w:val="20"/>
                <w:color w:val="auto"/>
              </w:rPr>
            </w:pPr>
            <w:r>
              <w:rPr>
                <w:rFonts w:ascii="Times New Roman" w:cs="Times New Roman" w:eastAsia="Times New Roman" w:hAnsi="Times New Roman"/>
                <w:sz w:val="18"/>
                <w:szCs w:val="18"/>
                <w:b w:val="1"/>
                <w:bCs w:val="1"/>
                <w:color w:val="auto"/>
                <w:w w:val="99"/>
              </w:rPr>
              <w:t>CONDENSED COMBINED STATEMENTS OF CHANGES IN EQUITY</w:t>
            </w:r>
          </w:p>
        </w:tc>
        <w:tc>
          <w:tcPr>
            <w:tcW w:w="1140" w:type="dxa"/>
            <w:vAlign w:val="bottom"/>
          </w:tcPr>
          <w:p>
            <w:pPr>
              <w:spacing w:after="0"/>
              <w:rPr>
                <w:sz w:val="20"/>
                <w:szCs w:val="20"/>
                <w:color w:val="auto"/>
              </w:rPr>
            </w:pPr>
          </w:p>
        </w:tc>
      </w:tr>
      <w:tr>
        <w:trPr>
          <w:trHeight w:val="378"/>
        </w:trPr>
        <w:tc>
          <w:tcPr>
            <w:tcW w:w="2620" w:type="dxa"/>
            <w:vAlign w:val="bottom"/>
          </w:tcPr>
          <w:p>
            <w:pPr>
              <w:spacing w:after="0"/>
              <w:rPr>
                <w:sz w:val="24"/>
                <w:szCs w:val="24"/>
                <w:color w:val="auto"/>
              </w:rPr>
            </w:pPr>
          </w:p>
        </w:tc>
        <w:tc>
          <w:tcPr>
            <w:tcW w:w="7480" w:type="dxa"/>
            <w:vAlign w:val="bottom"/>
            <w:gridSpan w:val="2"/>
          </w:tcPr>
          <w:p>
            <w:pPr>
              <w:jc w:val="center"/>
              <w:ind w:right="1396"/>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1140" w:type="dxa"/>
            <w:vAlign w:val="bottom"/>
          </w:tcPr>
          <w:p>
            <w:pPr>
              <w:spacing w:after="0"/>
              <w:rPr>
                <w:sz w:val="24"/>
                <w:szCs w:val="24"/>
                <w:color w:val="auto"/>
              </w:rPr>
            </w:pPr>
          </w:p>
        </w:tc>
      </w:tr>
      <w:tr>
        <w:trPr>
          <w:trHeight w:val="378"/>
        </w:trPr>
        <w:tc>
          <w:tcPr>
            <w:tcW w:w="2620" w:type="dxa"/>
            <w:vAlign w:val="bottom"/>
          </w:tcPr>
          <w:p>
            <w:pPr>
              <w:spacing w:after="0"/>
              <w:rPr>
                <w:sz w:val="24"/>
                <w:szCs w:val="24"/>
                <w:color w:val="auto"/>
              </w:rPr>
            </w:pPr>
          </w:p>
        </w:tc>
        <w:tc>
          <w:tcPr>
            <w:tcW w:w="7480" w:type="dxa"/>
            <w:vAlign w:val="bottom"/>
            <w:gridSpan w:val="2"/>
          </w:tcPr>
          <w:p>
            <w:pPr>
              <w:jc w:val="center"/>
              <w:ind w:right="139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40" w:type="dxa"/>
            <w:vAlign w:val="bottom"/>
          </w:tcPr>
          <w:p>
            <w:pPr>
              <w:spacing w:after="0"/>
              <w:rPr>
                <w:sz w:val="24"/>
                <w:szCs w:val="24"/>
                <w:color w:val="auto"/>
              </w:rPr>
            </w:pPr>
          </w:p>
        </w:tc>
      </w:tr>
      <w:tr>
        <w:trPr>
          <w:trHeight w:val="326"/>
        </w:trPr>
        <w:tc>
          <w:tcPr>
            <w:tcW w:w="26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 from</w:t>
            </w:r>
          </w:p>
        </w:tc>
      </w:tr>
      <w:tr>
        <w:trPr>
          <w:trHeight w:val="195"/>
        </w:trPr>
        <w:tc>
          <w:tcPr>
            <w:tcW w:w="2620" w:type="dxa"/>
            <w:vAlign w:val="bottom"/>
            <w:tcBorders>
              <w:bottom w:val="single" w:sz="8" w:color="CCEEFF"/>
            </w:tcBorders>
          </w:tcPr>
          <w:p>
            <w:pPr>
              <w:spacing w:after="0"/>
              <w:rPr>
                <w:sz w:val="16"/>
                <w:szCs w:val="16"/>
                <w:color w:val="auto"/>
              </w:rPr>
            </w:pPr>
          </w:p>
        </w:tc>
        <w:tc>
          <w:tcPr>
            <w:tcW w:w="7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Parent</w:t>
            </w:r>
          </w:p>
        </w:tc>
      </w:tr>
      <w:tr>
        <w:trPr>
          <w:trHeight w:val="22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7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34,691</w:t>
            </w:r>
          </w:p>
        </w:tc>
      </w:tr>
      <w:tr>
        <w:trPr>
          <w:trHeight w:val="229"/>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7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(300,319)</w:t>
            </w:r>
          </w:p>
        </w:tc>
      </w:tr>
      <w:tr>
        <w:trPr>
          <w:trHeight w:val="22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7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290,626</w:t>
            </w: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716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1"/>
        </w:trPr>
        <w:tc>
          <w:tcPr>
            <w:tcW w:w="26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412"/>
        </w:trPr>
        <w:tc>
          <w:tcPr>
            <w:tcW w:w="26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 from</w:t>
            </w:r>
          </w:p>
        </w:tc>
      </w:tr>
      <w:tr>
        <w:trPr>
          <w:trHeight w:val="196"/>
        </w:trPr>
        <w:tc>
          <w:tcPr>
            <w:tcW w:w="2620" w:type="dxa"/>
            <w:vAlign w:val="bottom"/>
            <w:tcBorders>
              <w:bottom w:val="single" w:sz="8" w:color="CCEEFF"/>
            </w:tcBorders>
          </w:tcPr>
          <w:p>
            <w:pPr>
              <w:spacing w:after="0"/>
              <w:rPr>
                <w:sz w:val="17"/>
                <w:szCs w:val="17"/>
                <w:color w:val="auto"/>
              </w:rPr>
            </w:pPr>
          </w:p>
        </w:tc>
        <w:tc>
          <w:tcPr>
            <w:tcW w:w="7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Parent</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7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29"/>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7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(107,545)</w:t>
            </w:r>
          </w:p>
        </w:tc>
      </w:tr>
      <w:tr>
        <w:trPr>
          <w:trHeight w:val="22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7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132,896</w:t>
            </w: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716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42,132</w:t>
            </w:r>
          </w:p>
        </w:tc>
      </w:tr>
      <w:tr>
        <w:trPr>
          <w:trHeight w:val="20"/>
        </w:trPr>
        <w:tc>
          <w:tcPr>
            <w:tcW w:w="26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51"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37,278</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IPR&amp;D asset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Parent common shares as payment for license and consulting agreements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from equity method investment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non-cash items</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30"/>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(69,053)</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IPR&amp;D asset acquisition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 in business acquisition</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75,791</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restricted cash</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83,506</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91,420</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51" w:right="33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9, 2022, Biohaven Pharmaceutical Holding Company Ltd. (“Biohaven” or the “Parent”), Pfizer Inc. (“Pfizer”) and a wholly owned subsidiary of Pfizer (“Merger Sub”), entered into an Agreement and Plan of Merger (the “Merger Agreement”), which provides for the acquisition by Pfizer of the Parent through the merger of Merger Sub with and into the Parent (the “Merger”). In connection with the Merger Agreement, the Parent and Biohaven Ltd. (“SpinCo” or “the Company”) entered into a Separation and Distribution Agreement, dated as of May 9, 2022 (the “Distribution Agreement”). In connection with the Distribution Agreement, the Board of Directors of the Parent approved and directed the Parent’s management to effect the spin-off of the business, operations, and activities that are not the CGRP Business (as defined below), including the Kv7 ion channel activators, glutamate modulation, MPO inhibition and myostatin inhibition platforms, preclinical product candidates, and certain corporate infrastructure currently owned by the Parent, or collectively the “Biohaven Research Business”.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implement the spin-off, the Parent expects to transfer the related license agreements, intellectual property and corporate infrastructure, including certain non-commercial employee agreements, share based awards and other corporate agreements (the “Business”) to Biohaven Ltd, through a series of internal restructuring transactions, which we refer to as the pre-closing reorganization. Descriptions of historical business activities in these Notes to Condensed Combined Financial Statements are presented as if these transfers had already occurred, and the Parent’s activities related to such assets and liabilities had been performed by the Company.</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effect the spin-off, each of the Parent’s shareholders will receive one of our common shares for every two common shares of the Parent held prior to the spin-off. Upon completion of the spin-off, the Company will be a stand-alone, publicly traded company focused on the development of its Kv7 ion channel activator, glutamate modulation, MPO inhibition and myostatin inhibition platforms, which it believes have the potential to alter existing treatment approaches across a diverse set of neurological indications with high unmet need in both large markets and orphan indications.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spin-off would generally result in (a) the Company directly or indirectly owning, assuming, or retaining certain assets and liabilities of the Parent and its subsidiaries related to the Parent’s pipeline assets and businesses and (b) the Parent directly or indirectly owning, assuming, or retaining all other assets and liabilities, including those associated with the Parent’s platform for the research, development, manufacture and commercialization of calcitonin gene-related receptor antagonists, including rimegepant, zavegepant and the Heptares Therapeutics Limited preclinical CGRP portfolio and related assets (the “CGRP Business”).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may require additional capital, additional personnel and infrastructure, and further regulatory and other capabilities. Even if the Company’s product development efforts are successful, it is uncertain when, if ever, the Company will realize significant revenue from product sales.</w:t>
      </w:r>
    </w:p>
    <w:p>
      <w:pPr>
        <w:spacing w:after="0" w:line="1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Upon formation and to date, Biohaven Ltd. has had nominal assets, and no liabilities or results of operations and has 100 common shares of no par value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combined financial statements present, on a historical basis, the combined assets, liabilities, expenses and cash flows directly attributable to the Business which have been prepared from the Parent’s consolidated financial statements and accounting records and are presented on a stand-alone basis as if the operations have been conducted independently from the Parent. Historically, separate financial statements have not been prepared for the Company and it has not operated as a standalone business from the Parent.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71" w:right="339" w:bottom="1440" w:gutter="0" w:footer="0" w:header="0"/>
        </w:sectPr>
      </w:pPr>
    </w:p>
    <w:bookmarkStart w:id="221" w:name="page222"/>
    <w:bookmarkEnd w:id="2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condensed combined financial statements have been prepared in accordance with accounting principles generally accepted in the United States of America (“GAAP”) and pursuant to the rules and regulations of the U.S. Securities and Exchange Commission (“SEC”).</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condensed combined financial statements of operations and comprehensive loss include all costs directly related to the Business, including costs for facilities, functions and services utilized by the Company. The condensed combined statements of operations and comprehensive loss also include allocations for various expenses related to the Parent’s corporate functions, including research and development, human resources, information technology, facilities, tax, shared services, accounting, finance and legal. These expenses were allocated on the basis of direct usage or benefit when specifically identifiable, with the remainder allocated on a proportional cost allocation method primarily based on employee labor hours or direct expenses. Management believes the assumptions underlying the condensed combined financial statements, including the expense methodology and resulting allocation, are reasonable for all periods presented. However, the allocations may not include all of the actual expenses that would have been incurred by the Company and may not reflect its combined results of operations, financial position and cash flows had it been a standalone company during the periods presented. It is not practicable to estimate actual costs that would have been incurred had the Company been a standalone company and operated as an unaffiliated entity during the periods presented. Actual costs that might have been incurred had the Company been a standalone company would depend on a number of factors, including the organizational structure, what corporate functions the Company might have performed directly or outsourced and strategic decisions the Company might have made in areas such as executive management, legal and other professional services, and certain corporate overhead functions.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income tax amounts in the condensed combined financial statements have been calculated on a separate return method and are presented as if the Company’s operations were separate taxpayers in the respective jurisdiction. Therefore, tax expense, cash tax payments, and items of current and deferred taxes may not be reflective of the Company’s actual tax balances prior to or subsequent to the distribution.</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the Company and Biohaven expect to enter into a transition services agreement whereby the Company will provide certain transition services to Biohaven and Biohaven will provide certain transition services to the Company. The Company expects to continue to incur certain costs to establish itself as a standalone public company, as well as ongoing additional costs associated with operating as an independent, publicly traded company.</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condensed combined balance sheets include assets and liabilities that have been determined to be specifically identifiable or otherwise attributable to the Company, including certain assets that were historically held at the corporate level in the Parent. All intracompany transactions within the Company have been eliminated. All intercompany transactions between the Company and the Parent are considered to be effectively settled in the condensed combined financial statements at the time the transactions are recorded. The total net effect of these intercompany transactions considered to be settled is reflected in the condensed combined statement of cash flows within financing activities and in the condensed combined balance sheets as “Net investment from Parent.” See Note 9, Related Party Transactions for additional information regarding related party transactions.</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equity balance in these condensed combined financial statements represents the excess of total assets over liabilities. Net investment from Parent is primarily impacted by contributions from Parent which are the result of net funding provided by or distributed to Parent.</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on the condensed combined balance sheets represents cash balances from the standalone entities established to operate the Business and that will be contributed to the Company in connection with the spin-off. The Company is a co-obligor, jointly and severally with the Parent on Biohaven’s third-party long-term debt obligations with Sixth Street Specialty Lending, Inc. Biohaven’s third-party long-term debt and related interest expense are not reflected in the condensed combined financial statements because the Company has not agreed to pay a specified amount of the borrowings on the basis of its arrangement with the Parent, nor is the Company expected to pay any portion of the Parent’s third-party debt, and the borrowings are not specifically identifiable to SpinCo. See Note 8, Commitments and Contingencies for additional information regarding debt.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80"/>
          </w:cols>
          <w:pgMar w:left="320" w:top="171" w:right="39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that the condensed combined financial statements are issued.</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Through August 10, 2022, the Company has funded its operations primarily with proceeds from Biohaven Pharmaceutical Holding Co. Ltd., its Parent, and the Company expects the Parent to continue to fund its cash needs though the date of Distribution. The Company has incurred recurring losses since its inception, including net losses of $300,319 and $107,545 during the six months ended June 30, 2022 and 2021, respectively. The Company expects to continue to generate operating losses for the foreseeable future. As of August 10, 2022, the issuance date of these condensed combined financial statements, the Company expects that its continued funding from Parent will be sufficient to fund operating expenses, financial commitments and other cash requirements for at least one year after the issuance date of these financial statements. Following the Distribution, the Company’s viability will be dependent on its ability to raise additional capital to finance its operations.</w:t>
      </w:r>
    </w:p>
    <w:p>
      <w:pPr>
        <w:spacing w:after="0" w:line="13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To execute its business plans, the Company will require funding to support its continuing operations and pursue its growth strategy. Until such time as the Company can generate significant revenue from product sales, if ever, it expects to finance its operations through the sale of public or private equity,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4"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used in preparation of these combined financial statements for the six months ended June 30, 2022 and 2021 are described in Note 2 to the combined financial statements for the year ended December 31, 2021. Updates to our accounting policies, including impacts from the adoption of new accounting standards, are discussed below in this Note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Combined Financial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combined financial statements have been prepared in accordance with accounting principles generally accepted in the United States of America for interim financial information. The accompanying unaudited condensed combined financial statements do not include all of the information and footnotes required by accounting principles generally accepted in the United States of America for complete combined financial statements. The accompanying year-end condensed combined balance sheet was derived from audited financial statements, but does not include all disclosures required by accounting principles generally accepted in the United States of America. The unaudited interim condensed combined financial statements have been prepared on the same basis as the audited annual combined financial statements and, in the opinion of management, reflect all adjustments, which include only normal recurring adjustments, necessary for the fair statement of the Company’s financial position as of June 30, 2022 and the results of its operations for the six months ended June 30, 2022 and 2021 and its cash flows for the six months ended June 30, 2022 and 2021. The results for the six months ended June 30, 2022 are not necessarily indicative of results to be expected for the year ending December 31, 2022, any other interim periods or any future year or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preparation of condensed combined financial statements in conformity with GAAP requires management to make estimates and assumptions that affect the reported amounts of assets and liabilities, the disclosure of contingent assets and liabilities at the date of the combined financial statements and the reported amounts of income and expenses during the reporting periods. Significant estimates and assumptions reflected in these condensed combined financial statements include,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71"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but are not limited to, the valuation of intangible assets, determining the allocations of costs and expenses from the Parent and the accrual for research and development expenses. In addition, management’s assessment of the Company’s ability to continue as a going concern involves the estimation of the amount and timing of future cash inflows and outflows. Estimates are periodically reviewed in light of changes in circumstances, facts and experience. Changes in estimates are recorded in the period in which they become known.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IPR&amp;D that the Company acquires in conjunction with the acquisition of a business represents the fair value assigned to incomplete research projects which, at the time of acquisition, have not reached technological feasibility. The amounts are capitalized and accounted for as indefinite-lived intangible assets, subject to impairment testing until completion or abandonment of the projects. Upon successful completion of each project, the asset is classified as a definite-lived intangible and the Company will make a determination as to the then-useful life of the intangible asset, generally determined by the period in which the substantial majority of the cash flows are expected to be generated, and begin amortization.</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evaluates IPR&amp;D for impairment at least annually, or more frequently if impairment indicators exist, by performing a quantitative test that compares the fair value of the IPR&amp;D intangible asset with its carrying value. If the fair value is less than the carrying amount, an impairment loss is recognized in operating results.</w:t>
      </w:r>
    </w:p>
    <w:p>
      <w:pPr>
        <w:spacing w:after="0" w:line="12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If we acquire an asset or group of assets that do not meet the definition of a business under applicable accounting standards, the acquired IPR&amp;D is expensed on its acquisition date, unless it has an alternative future use. Future costs to develop these assets are recorded to research and development expense as they are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January 1, 2022 the Company adopted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which provides guidance on modifications or exchanges of a freestanding equity-classified written call option that is not within the scope of another topic. An entity should treat a modification of the terms or conditions or an exchange of a freestanding equity-classified written call option that remains equity classified after modification or exchange as an exchange of the original instrument for a new instrument, and provides further guidance on measuring the effect of a modification or an exchange of a freestanding equity-classified written call option that remains equity classified after modification or exchange. ASU 2021-04 also provides guidance on the recognition of the effect of a modification or an exchange of a freestanding equity-classified written call option that remains equity classified after modification or exchange on the basis of the substance of the transaction, in the same manner as if cash had been paid as consideration. The guidance has been applied prospectively and did not have a material effect on the combined financial statements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ASU also introduced new disclosure requirements for equity securities subject to contractual sale restrictions that are measured at fair value in accordance with Topic 820. The amendments in ASU 2022-03 are effective for fiscal years beginning after December 15, 2023. The Company is currently evaluating the effects of ASU 2022-03 on its combined financial statements.</w:t>
      </w:r>
    </w:p>
    <w:p>
      <w:pPr>
        <w:spacing w:after="0" w:line="12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collateral held by a bank for a letter of credit (“LOC”) issued in connection with the leased office space in Yardley, Pennsylvania. See Note 8 “Commitments and Contingencies” for additional information 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71"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real estate lease. The following represents a reconciliation of cash in the condensed combined balance sheets to total cash and restricted cash as of June 30, 2022 and June 31, 2021, respectively, in the condensed combined statements of cash flows:</w:t>
      </w:r>
    </w:p>
    <w:p>
      <w:pPr>
        <w:spacing w:after="0" w:line="142" w:lineRule="exact"/>
        <w:rPr>
          <w:sz w:val="20"/>
          <w:szCs w:val="20"/>
          <w:color w:val="auto"/>
        </w:rPr>
      </w:pPr>
    </w:p>
    <w:p>
      <w:pPr>
        <w:ind w:left="942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June 30,</w:t>
      </w:r>
    </w:p>
    <w:p>
      <w:pPr>
        <w:spacing w:after="0" w:line="55" w:lineRule="exact"/>
        <w:rPr>
          <w:sz w:val="20"/>
          <w:szCs w:val="20"/>
          <w:color w:val="auto"/>
        </w:rPr>
      </w:pPr>
    </w:p>
    <w:p>
      <w:pPr>
        <w:ind w:left="9520"/>
        <w:spacing w:after="0"/>
        <w:tabs>
          <w:tab w:leader="none" w:pos="105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ectPr>
          <w:pgSz w:w="11900" w:h="16838" w:orient="portrait"/>
          <w:cols w:equalWidth="0" w:num="1">
            <w:col w:w="11240"/>
          </w:cols>
          <w:pgMar w:left="320" w:top="17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cash and restricted cash at the end of the period in the condensed combined statement of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920" w:hanging="408"/>
        <w:spacing w:after="0"/>
        <w:tabs>
          <w:tab w:leader="none" w:pos="9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23,209  $    90,420</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250</w:t>
      </w:r>
    </w:p>
    <w:p>
      <w:pPr>
        <w:spacing w:after="0" w:line="23" w:lineRule="exact"/>
        <w:rPr>
          <w:sz w:val="20"/>
          <w:szCs w:val="20"/>
          <w:color w:val="auto"/>
        </w:rPr>
      </w:pPr>
    </w:p>
    <w:p>
      <w:pPr>
        <w:jc w:val="right"/>
        <w:ind w:left="520" w:right="20" w:firstLine="618"/>
        <w:spacing w:after="0" w:line="340" w:lineRule="auto"/>
        <w:tabs>
          <w:tab w:leader="none" w:pos="228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750 $    23,959  $    91,420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-50800</wp:posOffset>
            </wp:positionV>
            <wp:extent cx="13112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131127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-205105</wp:posOffset>
            </wp:positionV>
            <wp:extent cx="1311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9" w:lineRule="exact"/>
        <w:rPr>
          <w:sz w:val="20"/>
          <w:szCs w:val="20"/>
          <w:color w:val="auto"/>
        </w:rPr>
      </w:pPr>
    </w:p>
    <w:p>
      <w:pPr>
        <w:ind w:left="120"/>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46" w:lineRule="exact"/>
        <w:rPr>
          <w:sz w:val="20"/>
          <w:szCs w:val="20"/>
          <w:color w:val="auto"/>
        </w:rPr>
      </w:pPr>
    </w:p>
    <w:p>
      <w:pPr>
        <w:sectPr>
          <w:pgSz w:w="11900" w:h="16838" w:orient="portrait"/>
          <w:cols w:equalWidth="0" w:num="2">
            <w:col w:w="7960" w:space="720"/>
            <w:col w:w="2560"/>
          </w:cols>
          <w:pgMar w:left="320" w:top="17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 receivable</w:t>
            </w:r>
          </w:p>
        </w:tc>
        <w:tc>
          <w:tcPr>
            <w:tcW w:w="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lab equipment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$488 for the six months ended June 30, 2022 and $329 for the six months ended June 30, 2021.</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computer software costs included in property and equipment were $760 and $760, respectively, net of accumulated amortization of $338 and $211, respectively. Depreciation and amortization expense for capitalized computer software costs not material for the six months ended June 30, 2022 or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71" w:right="339" w:bottom="1440" w:gutter="0" w:footer="0" w:header="0"/>
          <w:type w:val="continuous"/>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0"/>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A-2 Preferred Stock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23"/>
        </w:trPr>
        <w:tc>
          <w:tcPr>
            <w:tcW w:w="8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14,438</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Series A-2 Preferred Stock Purchase Agreement with Artizan Biosciences Inc. ("Artizan"). Under the agreement, the Company paid Artizan 61,494 shares of the Parent’s common shares valued at $6,000, which were issued in January 2021. In exchange, the Company acquired 34,472,031 shares of series A-2 preferred stock of Artizan. In June 2022, the Company entered into an Amendment to the Series A-2 Preferred Stock Purchase Agreement with Artizan. Under the Amendment, the Company made a cash payment of $4,000 in exchange for 22,975,301 additional shares of series A-2 preferred stock of Artizan. The Company determined that it was not practical to estimate the fair value of this investment as it represents Series A-2 Preferred Stock of an unlisted company. On a routine basis the Company will determine if additional preferred shares of the unlisted company have been issued and will adjust the carrying value of its Series A-2 Preferred Stock investment accordingly. See Note 6 “License Agreements” for additional details on the Artizan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development milestones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Contingently Redeemable Non-controlling Interest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2020, the Company's Asia-Pacific Subsidiary, BioShin Limited (“BioShin”), authorized, issued and sold 15,384,613 BioShin Series A Preferred Shares at a price of $3.90 per share for a total of $60,000 to a group of investors led by OrbiMed, with participation from Cormorant Asset Management LLC, HBM Healthcare Investments Ltd, Surveyor Capital (a Citadel Company), and Suvretta Capital Management, LLC (the "BioShin Investors"). The BioShin Series A Preferred Shares contained both a call option by the Company and a put option held by the BioShin Investors. Due to the contingently redeemable features, the Company had classified the BioShin Series A Preferred Shares in mezzanine equity since the redemption was out of the Company's control.</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2021, the Company, Biohaven Therapeutics Ltd. (“BTL”), Atlas Merger Sub and BioShin entered into an Agreement and Plan of Merger (the “BioShin Merger Agreement”). The BioShin Merger Agreement provided for the merger of Atlas Merger Sub with and into BioShin, with BioShin surviving the merger as a wholly owned indirect subsidiary of the Parent, in accordance with Section 233 of the Cayman Islands Companies Act. As a result of the satisfaction of the closing conditions described in the BioShin Merger Agreement, on January 6, 2022, each Series A convertible preferred share of BioShin, no par value, other than Excluded Shares (as defined in the BioShin Merger Agreement), was converted into the right to receive 0.080121 of the Parent’s common shares and was removed from mezzanine equity. No Series A convertible preferred shares of BioShin were outstanding following the closing.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71" w:right="339"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Kleo Pharmaceuticals, Inc.</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January 4, 2021, the Company acquired Kleo Pharmaceuticals, Inc. (“Kleo”). Kleo is a development-stage biopharmaceutical company focused on advancing the field of immunotherapy by developing small molecules that emulate biologics. The transaction was accounted for as the acquisition of a business using the acquisition method of accounting.</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total fair value of the consideration transferred was $20,043, which primarily consisted of the issuance of a total of 115,836 common shares of the Parent to Kleo stockholders and contingent consideration in the form of a contingent value right to receive one dollar in cash for each Kleo share if certain specified Kleo biopharmaceutical products or product candidates receive the approval of the FDA prior to the expiration of 30 months following the effective time of the transaction. The maximum amount payable pursuant to the contingent value right was approximately $17,300. At December 31, 2021, the Company determined the value of the contingent value right to be immaterial and recognized a gain of $1,457 related to the contingent value right in other income (expense).</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transaction, the Company owned approximately 41.9% of the outstanding shares of Kleo and accounted for it as an equity method investment. As part of the transaction, the Company acquired the remainder of the shares of Kleo, and post-transaction the Company owns 100% of the outstanding shares of Kleo. The carrying value of the Company’s investment in Kleo was $1,176 immediately prior to the acquisition date. The Company determined the fair value of the existing interest was $6,437, and recognized a gain from its equity method investment of $5,261 for the year ended December 31, 2021 as a result of remeasuring to fair value the existing equity interest in Kleo, which was included as Gain (loss) from equity method investment on the condensed combined statements of operations and comprehensive loss.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the Company recorded: net working capital of $573; property, plant and equipment of $1,257; intangible assets consisting of in progress research and development assets of $18,400 which include an oncology therapeutic candidate entering Phase I clinical trials and a COVID-19 therapeutic candidate in the planning stage for clinical development; debt assumed of $1,577; and goodwill of $1,390. The goodwill is primarily attributable to the acquired workforce.</w:t>
      </w:r>
    </w:p>
    <w:p>
      <w:pPr>
        <w:spacing w:after="0" w:line="12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Kleo’s employees, other than its President and Chief Financial Officer, were retained as part of the transaction. In connection with the transaction agreement, the Company filed a registration statement permitting Kleo stockholders to offer and sell the common shares of the Company issued in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Kv7 Platform Acquisition</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April 2022, the Company closed the acquisition from Knopp Biosciences LLC (“Knopp”) of Channel Biosciences, LLC (“Channel”), a wholly owned subsidiary of Knopp owning the assets of Knopp’s Kv7 channel targeting platform (the “Kv7 Platform Acquisition”), pursuant to a Membership Interest Purchase Agreement (the “Purchase Agreement”), dated February 24, 2022.</w:t>
      </w:r>
    </w:p>
    <w:p>
      <w:pPr>
        <w:spacing w:after="0" w:line="12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consideration for the Kv7 Platform Acquisition, on April 4, 2022, the Company made an upfront payment comprised of $35,000 in cash and 493,254 common shares of the Parent, valued at approximately $58,747, issued through a private placement. The Company has also agreed to pay additional success-based payments comprised of (i) up to $325,000 based on developmental and regulatory milestones through approvals in the United States, EMEA and Japan for the lead asset, BHV-7000 (formerly known as KB-3061), (ii) up to an additional $250,000 based on developmental and regulatory milestones for the Kv7 pipeline development in other indications and additional country approvals, and (iii) up to $562,500 for commercial sales-based milestones of BHV-7000. Additionally, the Company has agreed to make scaled royalty payments in cash for BHV-7000 and the pipeline programs, starting at high single digits and peaking at low teens for BHV-7000 and starting at mid-single digits and peaking at low tens digits for the pipeline programs.</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accounted for this purchase as an asset acquisition as substantially all of the fair value of the gross assets acquired was concentrated in a single identifiable asset, in-process research and development (“IPR&amp;D”). The IPR&amp;D asset has no alternative future use and relates to intellectual property rights related to the Kv7 platform lead, now BHV-7000. There was no material value assigned to any other assets acquired in the acquisition. As such, during the second quarter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71"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2022, the Company recorded a charge to R&amp;D expense in the accompanying condensed combined statements of operations and comprehensive loss of $93,747.</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second quarter of 2022, the Company recorded a liability for a $25,000 regulatory milestone payment which became due to Knopp in June 2022. The milestone payment was recorded as R&amp;D expense in the accompanying condensed combined statements of operations and comprehensive loss during the six months ended June 30, 2022.</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Excluding the milestone payment noted above, the Company has not recorded any of the possible contingent consideration payments to Knopp as a liability in the accompanying condensed combined balance sheet as none of the future events which would trigger a milestone payment were considered probable of occurring at June 30, 2022.</w:t>
      </w:r>
    </w:p>
    <w:p>
      <w:pPr>
        <w:spacing w:after="0" w:line="118"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Parent has share-based compensation plans under which it may issue common shares or restricted common shares, or grant incentive stock options or nonqualified stock options for the purchase of common shares, to employees, members of the board of directors and consultants of the Parent. The Parent also has an Employee Share Purchase Plan (the “ESPP”) which allows eligible employee who are participating in the plan to purchase shares of the Parent at a discount.</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Share-based compensation has been allocated to the Company by using a combination of specific identification and a proportionate cost allocation method based on employee hours or directly identified operating expenses, depending on the employee’s function. The amounts presented are not necessarily indicative of future awards and do not necessarily reflect the costs that the Company would have incurred as an independent company for the periods presented.</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Share-based compensation under the Parent’s share-based compensation plans is measured at the grant date based on the fair value of the award and is recognized as expense over the requisite service period of the award (generally three to four years) using the straight-line method. Share-based compensation expense attributed to the Company by classification included within in the condensed combined statements of operations and comprehensive loss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21,899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23,676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15,379</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60,930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Yale Agreement</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September 2013, the Company entered into an exclusive license agreement (the "Yale Agreement") with Yale University to obtain a license to certain patent rights for the commercial development, manufacture, distribution, use and sale of products and processes resulting from the development of those patent rights, related to the use of riluzole in treating various neurological conditions, such as general anxiety disorder, post-traumatic stress disorder and depression. As part of the consideration for this license, the Company issued Yale 250,000 common shares of the Parent and granted Yale the right to purchase up to 10% of the securities issued in specified future equity offerings by the Parent, in addition to the obligation to issue shares to prevent anti-dilution. The obligation to contingently issue equity to Yale was no longer outstanding as of December 31, 2018.</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Yale Agreement was amended and restated in May 2019. As amended, the Company agreed to pay Yale up to $2,000 upon the achievement of specified regulatory milestones and annual royalty payments of a low single-digit percentage based on net sales of riluzole-based products from the licensed patents or from products based on troriluzole. Under the amended and restated agreement, the royalty rates are reduced as compared to the original agreement. In addition, under the amended and restated agreement, the Company may develop products based on riluzole or troriluzole. The amended and restated agreement retains a minimum annual royalty of up to $1,000 per year, beginning after the first sale of product under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71" w:right="3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agreement. If the Company grants any sublicense rights under the Yale Agreement, it must pay Yale a low single-digit percentage of sublicense income that it receives.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material expense or make any milestone or royalty payments under the Yale Agreement.</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2021, the Company entered a worldwide, exclusive license agreement with Yale University for the development and commercialization of a novel Molecular Degrader of Extracellular Protein ("MoDE") platform (the "Yale MoDE Agreement"). Under the license agreement, the Company acquired exclusive, worldwide rights to Yale's intellectual property directed to its MoDE platform. The platform pertains to the clearance of disease-causing protein and other biomolecules by targeting them for lysosomal degradation using multi-functional molecules. As part of consideration for this license, the Company paid Yale University an upfront cash payment of $1,000 and 11,668 shares of the Parent valued at approximately $1,000. Under the agreement, the Company may develop products based on the MoDE platform. The agreement includes an obligation to pay a minimum annual royalty of up to $1,000 per year, and low single digit royalties on the net sales of licensed products. If the Company grants any sublicense rights under the Yale Agreement, it must pay Yale a low single-digit percentage of sublicense income that it receives. In addition, Yale University will be eligible to receive additional development milestone payments of up to $800 and commercial milestone payments of up to $2,950. The agreement terminates on the later of twenty years from the effective date, twenty years from the filing date of the first investigational new drug application for a licensed product or the last to expire of a licensed patent. Under the Yale MoDE Agreement, the Company entered into a sponsored research agreement (the “Yale MoDE SRA”) which included funding of up to $4,000 over the life of the agreement.</w:t>
      </w:r>
    </w:p>
    <w:p>
      <w:pPr>
        <w:spacing w:after="0" w:line="13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Excluding the upfront payments above, the Company recorded research and development expense related to the Yale MoDE Agreement of $2,000 and $150 for the six months ended June 30, 2022 and 2021, respectively. For the six months ended June 30, 2022 and 2021, the Company did not make any milestone or royalty payments under the Yale MoDE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ALS Biopharma Agreement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August 2015, the Company entered into an agreement (the "ALS Biopharma Agreement") with ALS Biopharma and Fox Chase Chemical Diversity Center Inc. ("FCCDC"), pursuant to which ALS Biopharma and FCCDC assigned the Company their worldwide patent rights to a family of over 300 prodrugs of glutamate modulating agents, including troriluzole, as well as other innovative technologies. Under the ALS Biopharma Agreement, the Company is obligated to use commercially reasonable efforts to commercialize and develop markets for the patent products. The Company is obligated to pay $3,000 upon the achievement of specified regulatory milestones with respect to the first licensed product and $1,000 upon the achievement of specified regulatory milestones with respect to subsequently developed products, as well as royalty payments of a low single-digit percentage based on net sales of products licensed under the agreement, payable on a quarterly basis.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ALS Biopharma Agreement terminates on a country-by-country basis as the last patent rights expire in each such country. If the Company abandons its development, research, licensing or sale of all products covered by one or more claims of any patent or patent application assigned under the ALS Biopharma Agreement, or if the Company ceases operations, it has agreed to reassign the applicable patent rights back to ALS Biopharma.</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expense or make any milestone or royalty payments under the ALS Biopharma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AstraZeneca Agreement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October 2016, the Company entered into an exclusive license agreement (the "2016 AstraZeneca Agreement") with AstraZeneca, pursuant to which AstraZeneca granted the Company a license to certain patent rights for the commercial development, manufacture, distribution and use of any products or processes resulting from development of those patent rights, including BHV-5000 and BHV-5500. In exchange for these rights, the Company agreed to pay AstraZeneca an upfront payment, milestone payments and royalties on net sales of licensed products under the agreement. The regulatory milestones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71" w:right="33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due under the 2016 AstraZeneca Agreement depend on the indication of the licensed product being developed as well as the territory where regulatory approval is obtained.</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Development milestones due under the 2016 AstraZeneca Agreement with respect to Rett syndrome total up to $30,000, and, for any indication other than Rett syndrome, total up to $60,000. Commercial milestones are based on net sales of all products licensed under the agreement and total up to $120,000. The Company has also agreed to pay royalties in two tiers, with each tiered royalty in the range from 0-10% of net sales of products licensed under the agreement. If the Company receives revenue from sublicensing any of its rights under the 2016 AstraZeneca Agreement, the Company is also obligated to pay a portion of that revenue to AstraZeneca. The Company is also required to reimburse AstraZeneca for any fees that AstraZeneca incurs related to the filing, prosecution, defending, and maintenance of patent rights licensed under the 2016 AstraZeneca Agreement.</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2016 AstraZeneca Agreement expires upon the expiration of the patent rights under the agreement or on a country-by-country basis ten years after the first commercial sale and can also be terminated if certain events occur, e.g., material breach or insolvency.</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expense or make any milestone or royalty payments under the 2016 AstraZeneca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AstraZeneca Agreement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2018, the Company entered into an exclusive license agreement (the "2018 AstraZeneca Agreement") with AstraZeneca, pursuant to which AstraZeneca granted the Company a license to certain patent rights for the commercial development, manufacture, distribution and use of any products or processes resulting from development of those patent rights, including BHV-3241. Under the 2018 AstraZeneca Agreement, the Company paid AstraZeneca an upfront cash payment of $3,000 and 109,523 shares valued at $4,080 on the date of settlement, both of which were included in research and development expense, and is obligated to pay milestone payments to AstraZeneca totaling up to $55,000 upon the achievement of specified regulatory and commercial milestones and up to $50,000 upon the achievement of specified sales-based milestones. In addition, the Company will pay AstraZeneca royalties in three tiers, with each tiered royalty in the range from 0-10% of net sales of specified approved products, subject to specified reductions.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2021, the Company completed enrollment in a Phase 3 clinical trial of this product candidate, which is now referred to as verdiperstat, for the treatment of Amyotrophic Lateral Sclerosis ("ALS"). ALS is a progressive, life-threatening, and rare neuromuscular disease for which there are currently limited treatment options and no cure. The Company is solely responsible, and has agreed to use commercially reasonable efforts, for all development, regulatory and commercial activities related to verdiperstat. The Company may sublicense its rights under the agreement and, if it does so, will be obligated to pay a portion of any milestone payments received from the sublicense to AstraZeneca in addition to any milestone payments it would otherwise be obligated to pay.</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2018 AstraZeneca Agreement terminates on a country-by-country basis and product-by-product basis upon the expiration of the royalty term for such product in such country and can also be terminated if certain events occur, e.g., material breach or insolvency.</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material expense or make any milestone or royalty payments under the 2018 AstraZeneca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Fox Chase Chemical Diversity Center Inc. Agreement</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May 2019, the Company entered into the FCCDC Agreement in which the Company purchased certain intellectual property relating to the TDP-43 protein from FCCDC. The FCCDC Agreement provides the Company with a plan and goal to identify one or more new chemical entity candidates for preclinical development for eventual clinical evaluation for the treatment of one or more TDP-43 proteinopathies. As consideration, the Company issued 100,000 of the Parent’s common shares to FCCDC valued at $5,646.</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the Company is obligated to pay FCCDC milestone payments totaling up to $4,500 with $1,000 for each additional NDA filing. The Company also issued a warrant to FCCDC, granting FCCDC the option to purchase up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71" w:right="339" w:bottom="1440" w:gutter="0" w:footer="0" w:header="0"/>
        </w:sectPr>
      </w:pPr>
    </w:p>
    <w:bookmarkStart w:id="230" w:name="page231"/>
    <w:bookmarkEnd w:id="2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100,000 of the Parent’s common shares, at a strike price of $56.46 per share, subject to vesting upon achievement of certain milestones in development of TDP-43.</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FCCDC Agreement, the Company and FCCDC have established a TDP-43 Research Plan, which was amended in November 2020, that provides for certain milestones to be achieved by FCCDC, and milestone payments to be made by the Company up to approximately $3,800 over a period of up to 30 months as success fees for research activities by FCCDC. In addition to the milestone payments, the Company will pay FCCDC an earned royalty equal to 0% to 10% of net sales of any TD-43 patent products with a valid claim as defined in the FCCDC Agreement. The Company may also license the rights developed under the FCCDC Agreement and, if it does so, will be obligated to pay a portion of any payments received from such licensee to FCCDC in addition to any milestones it would otherwise be obligated to pay. The Company is also responsible for the prosecution and maintenance of the patents related to the TDP-43 assets.</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FCCDC Agreement terminates on a country-by-country basis and product-by-product basis upon expiration of the royalty term for such product in such country and can also be terminated if certain events occur, e.g., material breach or insolvency.</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did not record any material research and development expense or make any milestone payments related to the FCCDC Agreement in the combined statements of operations and comprehensive loss during the six months ended June 30, 2022 and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UConn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2018, the Company announced it had signed an exclusive, worldwide option and license agreement (the “UConn Agreement”) with</w:t>
      </w:r>
    </w:p>
    <w:p>
      <w:pPr>
        <w:spacing w:after="0" w:line="27"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 University of Connecticut (“UConn”) for the development and commercialization rights to UC1MT, a therapeutic antibody targeting extracellular metallothionein. Under this agreement, the Company has the option to acquire an exclusive, worldwide license to UC1MT and its underlying patents to develop and commercialize throughout the world in all human indications. If the Company chooses to exercise the option, it would be obligated to pay UConn upon the achievement of specified regulatory and commercial milestones, and royalties of a low single-digit percentage of net sales of licensed products sold by the Company, its affiliates or its sublicensees.</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research and development expense or make any milestone payments related to the UConn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Artizan Agreement</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2020, BTL entered into an Option and License Agreement with Artizan Biosciences Inc (the "2020 Artizan Agreement"). Pursuant to the 2020 Artizan Agreement, BTL acquired an option (“Biohaven Option”) to obtain a royalty-based license from Artizan to manufacture, use and commercialize certain products in the United States for the treatment of diseases, including, for example, inflammatory bowel disease and other gastrointestinal inflammatory disorders, e.g., Crohn’s disease. The Biohaven Option is exercisable throughout the development phase of the products at an exercise price of approximately $4,000 to $8,000, which varies based on the market potential of the products. BTL and Artizan have also formed a joint steering committee to oversee, review and coordinate the product development activities with regard to all products for which BTL has (or has exercised in the future) the Biohaven Option.</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December 2020, simultaneously with the Option and License Agreement, the Company entered into a Series A-2 Preferred Stock Purchase Agreement with Artizan. Under the agreement, the Company paid Artizan 61,494 of the Parent’s common shares valued at $6,000, which were issued in January 2021. In exchange, the Company acquired 34,472,031 shares of series A-2 preferred stock of Artizan.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2021, BTL entered into a Development and License Agreement with Artizan Biosciences Inc (the "2021 Artizan Agreement"). Pursuant to the 2021 Artizan Agreement, BTL acquired an exclusive, worldwide license under Artizan’s IgA-SEQ patented technology and know-how to develop, manufacture and commercialize certain of Artizan’s compounds for use in Parkinson’s Disease. Under the agreement, BTL is responsible for funding the development of the compounds, obtaining regulatory approvals, manufacturing the compounds and commercializing the compounds. BTL is also responsible for the prosecution, maintenance and enforcement of Artizan’s patents. BTL will pay Artizan development milestones of $20,000 for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20"/>
          </w:cols>
          <w:pgMar w:left="320" w:top="171" w:right="359" w:bottom="1440" w:gutter="0" w:footer="0" w:header="0"/>
        </w:sectPr>
      </w:pPr>
    </w:p>
    <w:bookmarkStart w:id="231" w:name="page232"/>
    <w:bookmarkEnd w:id="2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first licensed compound to achieve U.S. marketing authorization and $10,000 for each subsequent U.S. approval. In addition, BTL will pay Artizan commercialization milestones totaling up to $150,000 and royalties in the low to mid single digits. The 2021 Artizan Agreement terminates on a country-by-country basis on the later of 10 years from the first commercial sale of licensed product in such country or the expiration of Artizan’s patents in such country and can also be terminated if certain events occur, e.g., material breach or insolvency.</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an Amendment to the Series A-2 Preferred Stock Purchase Agreement with Artizan. Under the Amendment, the Company made a cash payment of $4,000 in exchange for 22,975,301 shares of series A-2 preferred stock of Artizan out of a total of 45,950,601 shares of series A-2 preferred stock of Artizan for a total raise of $8,000 (the “A2 Extension Raise”). Along with the Amendment, the Company and Artizan executed a non-binding indication of interest (“Artizan Side Letter”) which describes terms under which BTL and Artizan would amend the 2020 Artizan Agreement to eliminate certain milestone payments required by us in exchange for limiting our option to the selection of the first (ARZC-001) licensed product. The Artizan Side Letter requires Artizan to commit at least 80% of the funds raised in the A-2 Extension Raise to a certain program and to raise $35,000 of additional capital within a certain time.</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excluding the upfront payments above, the Company did not record any research and development expense or make any milestone payments related to the Artizan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Moda Agreement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1, 2021, the Company entered into a consulting services agreement with Moda Pharmaceuticals LLC (the "Moda Agreement") to further the scientific advancement of technology, drug discovery platforms (including the technology licensed under the Yale MoDE Agreement), product candidates and related intellectual property owned or controlled by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Moda Agreement, the Company paid Moda an upfront cash payment of $2,700 and 37,836 shares of the Parent valued at approximately $3,243.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Moda will be eligible to receive additional development milestone payments of up to $81,612 and commercial milestone payments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$30,171. The Moda Agreement has a term of four years and may be terminated earlier by the Company or Moda under certain circumstances including,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 the Company's discontinuation of research on the MoDE platform or default.</w:t>
      </w:r>
    </w:p>
    <w:p>
      <w:pPr>
        <w:spacing w:after="0" w:line="15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excluding the upfront payments above, the Company did not record any material research and development expense or make any milestone payments related to the Moda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Reliant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2021, the Company entered into the Reliant Agreement pursuant to which the Company and Reliant have agreed to collaborate on a program with Biohaven Labs’ multifunctional molecules to develop and commercialize conjugated antibodies for therapeutic uses relating to IgA nephropathy and treatment of other diseases and conditions. Under the Reliant Agreement, the Company paid Reliant an upfront payment in the form of issuance of common shares valued at approximately $3,686, which the Company recorded as research and development expense on its combined statement of operations and comprehensive loss. In addition, Reliant will be eligible to receive development and regulatory milestone payments of up to $36,500, and royalties of a low single-digit percentage of net sales of licensed products.</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material research and development expense related to the Reliant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 Leuven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2022, the Company and Katholieke Universiteit Leuven ("KU Leuven") entered into an Exclusive License and Research Collaboration Agreement (the "KU Leuven Agreement") to develop and commercialize TRPM3 antagonists to address the growing proportion of people worldwide living with chronic pain disorders. The TRPM3 antagonist platform was discovered at the Centre for Drug Design and Discovery ("CD3") and the Laboratory of Ion Channel Research ("LICR") at KU Leuven. Under the KU Leuven Agreement, the Company receives exclusive global rights to develop, manufacture and commercialize KU Leuven's portfolio of small-molecule TRPM3 antagonists. The portfolio includes the lead candidate, henceforth known as BHV-2100, which is being evaluated in preclinical pain models and will be the first to advance towards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71"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Phase 1 studies. The Company will support further basic and translational research at KU Leuven on the role of TRPM3 in pain and other disorders. As consideration, KU Leuven received an upfront cash payment of $3,000 and 15,340 shares valued at $1,779, and is eligible to receive additional development, regulatory, and commercialization milestones payments of up to $327,750. In addition, KU Leuven will be eligible to receive mid-single digit royalties on net sales of products resulting from the collaboration.</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Excluding the upfront payments discussed above, the Company recorded $397 in research and development expense related to the KU Leuven Agreement during the six months ended June 30, 2022. The Company did not record any research and development expense relating to the KU Leuven Agreement during the six months ended June 30,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Taldefgrobep Alfa License Agreement</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February 2022, following the transfer of intellectual property the Company announced that it entered into a worldwide license agreement with BMS for the development and commercialization rights to taldefgrobep alfa (also known as BMS-986089), a novel, Phase 3-ready anti-myostatin adnectin (the "Taldefgrobep Alfa License Agreement"). Under the terms of the Taldefgrobep Alfa License Agreement, the Company will receive worldwide rights to taldefgrobep alfa and BMS will be eligible for regulatory approval milestone payments of up to $200,000, as well as tiered, sales-based royalty percentages from the high teens to the low twenties. There were no upfront or contingent payments to BMS related to the Taldefgrobep Alfa License Agreement.</w:t>
      </w:r>
    </w:p>
    <w:p>
      <w:pPr>
        <w:spacing w:after="0" w:line="1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did not record any material expense or make any milestone or royalty payments under the Taldefgrobep Alfa License Agreement.</w:t>
      </w:r>
    </w:p>
    <w:p>
      <w:pPr>
        <w:spacing w:after="0" w:line="104"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comparative summary of the Company's income tax provision and effective income tax rate for the six months ended June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r>
    </w:tbl>
    <w:p>
      <w:pPr>
        <w:spacing w:after="0" w:line="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$13,365 for the six months ended June 30, 2022 compared to a provision for income taxes of $41 for the six months ended June 30, 2021. The increase in income tax expense for the six months ended June 30, 2022 as compared to 2021 was primarily attributable to the mandatory capitalization of R&amp;D expenses effective January 1, 2022 under the Tax Cuts and Jobs Act, offset by an increased benefit to the Company's foreign derived intangible income deduction.</w:t>
      </w:r>
    </w:p>
    <w:p>
      <w:pPr>
        <w:spacing w:after="0" w:line="122"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agreements are either current Company agreements, or those the Parent expects to assign to the Company upon separation, accordingly, all considerations paid by the Parent in association with these agreements are recorded in the combined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Parent’s leases primarily consist of office space that will be attributed to the Company in connection with the separation. The Company determines if an arrangement is a lease at inception. The lease term includes options to extend or terminate the lease when it is reasonably certain that the Company will exercise that option. Real estate leases for facilities have an average remaining lease term of 4.66 years as of June 30, 2022, for which none include the optional extension. The Company has made an accounting policy election not to record short-term leases (leases with an initial term of 12 months or less) on the balance sheet. The Company currently has two short-term leases with immaterial lease expense.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71"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Lease expense for operating lease payments is recognized on a straight-line basis over the term of the lease. Operating lease assets and liabilities are recognized based on the present value of lease payments over the lease term. Since most of the Company’s leases do not have a readily determinable implicit discount rate, the Company uses the Parent’s incremental borrowing rate to calculate the present value of lease payments. The Company does not separate lease components (e.g., payments for rent, real estate taxes and insurance costs) from non-lease components (e.g., common-area maintenance costs) in the event that the agreement contains both. The Company includes both the lease and non-lease components for purposes of calculating the right-of-use asset and related lease liability (if the non-lease components are fixed). The allocated operating lease cost was $220 and $153 for the six months ended June 30, 2022 and 2021, respectively.</w:t>
      </w:r>
    </w:p>
    <w:p>
      <w:pPr>
        <w:spacing w:after="0" w:line="13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contain variable lease payments that are adjusted for actual operating expense true-ups compared with estimated amounts; however, these amounts are immaterial. The Company had no sublease income and there are no sale-leaseback transactions. The Company’s lease agreements do not contain any material residual value guarantees or material restrictive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20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33655</wp:posOffset>
            </wp:positionV>
            <wp:extent cx="19113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20" w:val="left"/>
          <w:tab w:leader="none" w:pos="9200" w:val="left"/>
          <w:tab w:leader="none" w:pos="9780" w:val="left"/>
          <w:tab w:leader="none" w:pos="10960" w:val="left"/>
        </w:tabs>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2,633</w:t>
        <w:tab/>
        <w:t>$</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right-of-use assets were obtained in exchange for new operating lease liabilities during the six months ended June 30, 2021. Operating cash flows paid for operating leases were immaterial for the six months ended June 30, 2022 and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7,262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5,222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4,352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2,797</w:t>
            </w:r>
          </w:p>
        </w:tc>
      </w:tr>
      <w:tr>
        <w:trPr>
          <w:trHeight w:val="223"/>
        </w:trPr>
        <w:tc>
          <w:tcPr>
            <w:tcW w:w="7980" w:type="dxa"/>
            <w:vAlign w:val="bottom"/>
          </w:tcPr>
          <w:p>
            <w:pPr>
              <w:spacing w:after="0"/>
              <w:rPr>
                <w:sz w:val="19"/>
                <w:szCs w:val="19"/>
                <w:color w:val="auto"/>
              </w:rPr>
            </w:pP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5,457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3,236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9.47 %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45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9"/>
        </w:trPr>
        <w:tc>
          <w:tcPr>
            <w:tcW w:w="7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sixth months)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71" w:right="339" w:bottom="1440" w:gutter="0" w:footer="0" w:header="0"/>
        </w:sectPr>
      </w:pPr>
    </w:p>
    <w:bookmarkStart w:id="234" w:name="page235"/>
    <w:bookmarkEnd w:id="2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Commitments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Parent has entered into agreements with several CROs to provide services in connection with the Company’s preclinical studies and clinical trials. Research Commitments entered into by the Parent and related to the Company are expected to transfer to the Company upon separation. As of June 30, 2022, the Company had remaining maximum research commitments of approximately $21,400, which are variable based on number of trial participants, and contingent upon the achievement of certain milestones of the clinical trials covered under the agreements. If all related milestones are achieved, the Company expects these amounts to be paid over the next five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Company’s amended and restated memorandum and articles of association also provide for indemnification of directors and officers in specific circumstances. To date, the Company has not incurred any material costs as a result of such indemnification provisions. The Company does not believe that the outcome of any claims under indemnification arrangements will have a material effect on its financial position, results of operations or cash flows, and it has not accrued any liabilities related to such obligations in its combined financial statements as of June 30, 2022 or December 31,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Parent entered into license agreements with various parties that are directly attributed to the Company under which it is obligated to make contingent and non-contingent payments (see Note 6). License agreements entered by the Parent and related to the Company are expected to transfer to the Company upon separation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Sixth Street Financing Agreement</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August 2020, the Parent and Biohaven Pharmaceuticals, Inc., (together with the Parent the "Borrowers"), entered into a financing agreement, as amended, with Sixth Street Specialty Lending, Inc., as administrative agent, and the lenders party thereto (the "Lenders") pursuant to which the Lenders agreed to extend a senior secured credit facility to the Borrowers (the “Sixth Street Financing Agreement”). The Sixth Street Financing Agreement, as amended, provides for term loans in an aggregate principal amount up to $750,000, plus any capitalized interest paid in kind (the “Sixth Street Financing Agreement”) and is accounted for as third-party, long-term debt by the Parent.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co-obligor, jointly and severally with the Parent on its third-party long-term debt obligation under the Sixth Street Financing Agreement. The Parent’s third-party debt and related interest expense are not reflected in the combined financial statements because the Company has not agreed to pay a specified amount of the borrowings on the basis of its arrangement with the Parent, nor is the Company expected to pay any portion of the Parent’s third-party debt, and the borrowings are not specifically identifiable to SpinCo. Pursuant to the terms of the Merger Agreement, at closing of the Merger, Pfizer will pay off or cause to be paid off the applicable payoff amount on behalf of the Parent.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is subject to litigation and regulatory examinations as well as information gathering requests, inquiries and investigations. As of June 30, 2022, there were no matters which would have a material impact on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320" w:top="171" w:right="35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has not historically operated as a standalone business and the combined financial statements are derived from the consolidated financial statements and accounting records of the Parent. The following disclosure summarizes activity between the Company and the Parent, including the affiliates of the Parent that are not part of the planned spin-off.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Allocations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reflect allocations of certain expenses from the financial statements of the Parent, including research and development expenses and general and administrative expenses. These allocations include, but are not limited to, executive management, employee compensation and benefits, facilities and operations, information technology, business development, financial services (such as accounting, audit, and tax), legal, insurance, and share-based compensation. Some of these services are expected to continue to be provided to the Parent on a temporary basis following the Distribution under a transition services agreement. See Note 2 for discussion of these costs and the methodology used to allocate them.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allocations to SpinCo are reflected in the combined statement of operations and comprehensive loss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61,724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34,674</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33,377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18,778</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95,101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53,452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 believes these cost allocations are a reasonable reflection of services provided to, of the benefit derived by, the Company during the periods presented. The allocations may not, however, be indicative of the actual expenses that would have been incurred had the Company operated as a standalone public company. Actual costs that may have been incurred if the Company had been a standalone public company would depend on a number of factors, including the chosen organizational structure, whether functions were outsourced or performed by Company employees, and strategic decisions made in areas such as research and development, information technology and infrastructure.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discussed in Note 5, Share-based compensation, SpinCo employees participate in the Parent’s share-based compensation plans, the costs of which have been allocated to SpinCo and recorded in research and development and general and administrative expenses in the condensed combined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71"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BIOHAVEN PHARMACEUTICAL HOLDING COMPANY LTD.)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Transfers From Parent</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Net transfers from Parent represent the net effect of transactions between SpinCo and the Parent. The components of net transfers from Parent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59,222</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cost allocations, excluding share-based compensation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from Parent as reflected in the Combined Statement of Cash Flows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75,396</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to repurchase non-controlling interest in a subsidiary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IPR&amp;D asset acquisition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business acquisition</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Artizan investment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Parent common shares as payment for license and consulting agreements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from Parent as reflected in the Combined Statement of Changes in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Yale</w:t>
      </w:r>
    </w:p>
    <w:p>
      <w:pPr>
        <w:spacing w:after="0" w:line="17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September 30, 2013, the Company entered into the Yale Agreement with Yale (see Note 6). The Company’s Chief Executive Officer is one of the inventors of the patents that the Company has licensed from Yale and, as such, is entitled to a specified share of the glutamate product-related royalty revenues that may be received by Yale under the Yale Agreement.</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the Yale MoDE Agreement with Yale (see Note 6 for detail). Under the license agreement, the Company acquired exclusive, worldwide rights to Yale's intellectual property directed to its MoDE platform. As part of consideration for this license, the Company paid Yale University an upfront cash payment of $1,000 and 11,668 common shares of the Parent valued at approximately $1,000.</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recorded $2,000 and $150 in research and development expense related to the Yale MoDE Agreement and Yale Agreement (the "Yale Agreements"). As of June 30, 2022, the Company owed $2,000 to Yale, which is related to the Yale MoDE SRA.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lowerRoman"/>
      <w:start w:val="1"/>
    </w:lvl>
  </w:abstractNum>
  <w:abstractNum w:abstractNumId="1">
    <w:nsid w:val="7BD3EE7B"/>
    <w:multiLevelType w:val="hybridMultilevel"/>
    <w:lvl w:ilvl="0">
      <w:lvlJc w:val="left"/>
      <w:lvlText w:val="(%1)"/>
      <w:numFmt w:val="lowerRoman"/>
      <w:start w:val="2"/>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1."/>
      <w:numFmt w:val="decimal"/>
      <w:start w:val="1"/>
    </w:lvl>
    <w:lvl w:ilvl="1">
      <w:lvlJc w:val="left"/>
      <w:lvlText w:val="(%2)"/>
      <w:numFmt w:val="lowerLetter"/>
      <w:start w:val="1"/>
    </w:lvl>
  </w:abstractNum>
  <w:abstractNum w:abstractNumId="4">
    <w:nsid w:val="BF72B14"/>
    <w:multiLevelType w:val="hybridMultilevel"/>
    <w:lvl w:ilvl="0">
      <w:lvlJc w:val="left"/>
      <w:lvlText w:val="1"/>
      <w:numFmt w:val="bullet"/>
      <w:start w:val="1"/>
    </w:lvl>
  </w:abstractNum>
  <w:abstractNum w:abstractNumId="5">
    <w:nsid w:val="11447B73"/>
    <w:multiLevelType w:val="hybridMultilevel"/>
    <w:lvl w:ilvl="0">
      <w:lvlJc w:val="left"/>
      <w:lvlText w:val="%1."/>
      <w:numFmt w:val="decimal"/>
      <w:start w:val="3"/>
    </w:lvl>
    <w:lvl w:ilvl="1">
      <w:lvlJc w:val="left"/>
      <w:lvlText w:val="(%2)"/>
      <w:numFmt w:val="lowerLetter"/>
      <w:start w:val="1"/>
    </w:lvl>
  </w:abstractNum>
  <w:abstractNum w:abstractNumId="6">
    <w:nsid w:val="42963E5A"/>
    <w:multiLevelType w:val="hybridMultilevel"/>
    <w:lvl w:ilvl="0">
      <w:lvlJc w:val="left"/>
      <w:lvlText w:val="%1."/>
      <w:numFmt w:val="decimal"/>
      <w:start w:val="5"/>
    </w:lvl>
  </w:abstractNum>
  <w:abstractNum w:abstractNumId="7">
    <w:nsid w:val="A0382C5"/>
    <w:multiLevelType w:val="hybridMultilevel"/>
    <w:lvl w:ilvl="0">
      <w:lvlJc w:val="left"/>
      <w:lvlText w:val="%1:"/>
      <w:numFmt w:val="upperLetter"/>
      <w:start w:val="1"/>
    </w:lvl>
  </w:abstractNum>
  <w:abstractNum w:abstractNumId="8">
    <w:nsid w:val="8F2B15E"/>
    <w:multiLevelType w:val="hybridMultilevel"/>
    <w:lvl w:ilvl="0">
      <w:lvlJc w:val="left"/>
      <w:lvlText w:val="%1:"/>
      <w:numFmt w:val="upperLetter"/>
      <w:start w:val="1"/>
    </w:lvl>
  </w:abstractNum>
  <w:abstractNum w:abstractNumId="9">
    <w:nsid w:val="1A32234B"/>
    <w:multiLevelType w:val="hybridMultilevel"/>
    <w:lvl w:ilvl="0">
      <w:lvlJc w:val="left"/>
      <w:lvlText w:val="%1:"/>
      <w:numFmt w:val="upperLetter"/>
      <w:start w:val="1"/>
    </w:lvl>
  </w:abstractNum>
  <w:abstractNum w:abstractNumId="10">
    <w:nsid w:val="3B0FD379"/>
    <w:multiLevelType w:val="hybridMultilevel"/>
    <w:lvl w:ilvl="0">
      <w:lvlJc w:val="left"/>
      <w:lvlText w:val="%1:"/>
      <w:numFmt w:val="upperLetter"/>
      <w:start w:val="1"/>
    </w:lvl>
  </w:abstractNum>
  <w:abstractNum w:abstractNumId="11">
    <w:nsid w:val="68EB2F63"/>
    <w:multiLevelType w:val="hybridMultilevel"/>
    <w:lvl w:ilvl="0">
      <w:lvlJc w:val="left"/>
      <w:lvlText w:val="%1:"/>
      <w:numFmt w:val="upperLetter"/>
      <w:start w:val="1"/>
    </w:lvl>
  </w:abstractNum>
  <w:abstractNum w:abstractNumId="12">
    <w:nsid w:val="4962813B"/>
    <w:multiLevelType w:val="hybridMultilevel"/>
    <w:lvl w:ilvl="0">
      <w:lvlJc w:val="left"/>
      <w:lvlText w:val="%1:"/>
      <w:numFmt w:val="upperLetter"/>
      <w:start w:val="1"/>
    </w:lvl>
  </w:abstractNum>
  <w:abstractNum w:abstractNumId="13">
    <w:nsid w:val="60B6DF70"/>
    <w:multiLevelType w:val="hybridMultilevel"/>
    <w:lvl w:ilvl="0">
      <w:lvlJc w:val="left"/>
      <w:lvlText w:val="%1:"/>
      <w:numFmt w:val="upperLetter"/>
      <w:start w:val="1"/>
    </w:lvl>
  </w:abstractNum>
  <w:abstractNum w:abstractNumId="14">
    <w:nsid w:val="6A5EE64"/>
    <w:multiLevelType w:val="hybridMultilevel"/>
    <w:lvl w:ilvl="0">
      <w:lvlJc w:val="left"/>
      <w:lvlText w:val="%1:"/>
      <w:numFmt w:val="upperLetter"/>
      <w:start w:val="17"/>
    </w:lvl>
  </w:abstractNum>
  <w:abstractNum w:abstractNumId="15">
    <w:nsid w:val="14330624"/>
    <w:multiLevelType w:val="hybridMultilevel"/>
    <w:lvl w:ilvl="0">
      <w:lvlJc w:val="left"/>
      <w:lvlText w:val="%1:"/>
      <w:numFmt w:val="upperLetter"/>
      <w:start w:val="1"/>
    </w:lvl>
  </w:abstractNum>
  <w:abstractNum w:abstractNumId="16">
    <w:nsid w:val="7FFFCA11"/>
    <w:multiLevelType w:val="hybridMultilevel"/>
    <w:lvl w:ilvl="0">
      <w:lvlJc w:val="left"/>
      <w:lvlText w:val="%1:"/>
      <w:numFmt w:val="upperLetter"/>
      <w:start w:val="17"/>
    </w:lvl>
  </w:abstractNum>
  <w:abstractNum w:abstractNumId="17">
    <w:nsid w:val="1A27709E"/>
    <w:multiLevelType w:val="hybridMultilevel"/>
    <w:lvl w:ilvl="0">
      <w:lvlJc w:val="left"/>
      <w:lvlText w:val="%1:"/>
      <w:numFmt w:val="upperLetter"/>
      <w:start w:val="1"/>
    </w:lvl>
  </w:abstractNum>
  <w:abstractNum w:abstractNumId="18">
    <w:nsid w:val="71EA1109"/>
    <w:multiLevelType w:val="hybridMultilevel"/>
    <w:lvl w:ilvl="0">
      <w:lvlJc w:val="left"/>
      <w:lvlText w:val="%1:"/>
      <w:numFmt w:val="upperLetter"/>
      <w:start w:val="1"/>
    </w:lvl>
  </w:abstractNum>
  <w:abstractNum w:abstractNumId="19">
    <w:nsid w:val="100F59DC"/>
    <w:multiLevelType w:val="hybridMultilevel"/>
    <w:lvl w:ilvl="0">
      <w:lvlJc w:val="left"/>
      <w:lvlText w:val="%1"/>
      <w:numFmt w:val="upperLetter"/>
      <w:start w:val="1"/>
    </w:lvl>
    <w:lvl w:ilvl="1">
      <w:lvlJc w:val="left"/>
      <w:lvlText w:val="(%2)"/>
      <w:numFmt w:val="lowerRoman"/>
      <w:start w:val="2"/>
    </w:lvl>
  </w:abstractNum>
  <w:abstractNum w:abstractNumId="20">
    <w:nsid w:val="7FB7E0AA"/>
    <w:multiLevelType w:val="hybridMultilevel"/>
    <w:lvl w:ilvl="0">
      <w:lvlJc w:val="left"/>
      <w:lvlText w:val="%1:"/>
      <w:numFmt w:val="upperLetter"/>
      <w:start w:val="17"/>
    </w:lvl>
    <w:lvl w:ilvl="1">
      <w:lvlJc w:val="left"/>
      <w:lvlText w:val="%2"/>
      <w:numFmt w:val="lowerRoman"/>
      <w:start w:val="1"/>
    </w:lvl>
  </w:abstractNum>
  <w:abstractNum w:abstractNumId="21">
    <w:nsid w:val="6EB5BD4"/>
    <w:multiLevelType w:val="hybridMultilevel"/>
    <w:lvl w:ilvl="0">
      <w:lvlJc w:val="left"/>
      <w:lvlText w:val="%1:"/>
      <w:numFmt w:val="upperLetter"/>
      <w:start w:val="1"/>
    </w:lvl>
    <w:lvl w:ilvl="1">
      <w:lvlJc w:val="left"/>
      <w:lvlText w:val="•"/>
      <w:numFmt w:val="bullet"/>
      <w:start w:val="1"/>
    </w:lvl>
  </w:abstractNum>
  <w:abstractNum w:abstractNumId="22">
    <w:nsid w:val="6F6DD9AC"/>
    <w:multiLevelType w:val="hybridMultilevel"/>
    <w:lvl w:ilvl="0">
      <w:lvlJc w:val="left"/>
      <w:lvlText w:val="%1:"/>
      <w:numFmt w:val="upperLetter"/>
      <w:start w:val="1"/>
    </w:lvl>
    <w:lvl w:ilvl="1">
      <w:lvlJc w:val="left"/>
      <w:lvlText w:val="•"/>
      <w:numFmt w:val="bullet"/>
      <w:start w:val="1"/>
    </w:lvl>
  </w:abstractNum>
  <w:abstractNum w:abstractNumId="23">
    <w:nsid w:val="94211F2"/>
    <w:multiLevelType w:val="hybridMultilevel"/>
    <w:lvl w:ilvl="0">
      <w:lvlJc w:val="left"/>
      <w:lvlText w:val="%1:"/>
      <w:numFmt w:val="upperLetter"/>
      <w:start w:val="1"/>
    </w:lvl>
  </w:abstractNum>
  <w:abstractNum w:abstractNumId="24">
    <w:nsid w:val="885E1B"/>
    <w:multiLevelType w:val="hybridMultilevel"/>
    <w:lvl w:ilvl="0">
      <w:lvlJc w:val="left"/>
      <w:lvlText w:val="%1:"/>
      <w:numFmt w:val="upperLetter"/>
      <w:start w:val="1"/>
    </w:lvl>
  </w:abstractNum>
  <w:abstractNum w:abstractNumId="25">
    <w:nsid w:val="76272110"/>
    <w:multiLevelType w:val="hybridMultilevel"/>
    <w:lvl w:ilvl="0">
      <w:lvlJc w:val="left"/>
      <w:lvlText w:val="%1:"/>
      <w:numFmt w:val="upperLetter"/>
      <w:start w:val="17"/>
    </w:lvl>
  </w:abstractNum>
  <w:abstractNum w:abstractNumId="26">
    <w:nsid w:val="4C04A8AF"/>
    <w:multiLevelType w:val="hybridMultilevel"/>
    <w:lvl w:ilvl="0">
      <w:lvlJc w:val="left"/>
      <w:lvlText w:val="%1:"/>
      <w:numFmt w:val="upperLetter"/>
      <w:start w:val="1"/>
    </w:lvl>
  </w:abstractNum>
  <w:abstractNum w:abstractNumId="27">
    <w:nsid w:val="1716703B"/>
    <w:multiLevelType w:val="hybridMultilevel"/>
    <w:lvl w:ilvl="0">
      <w:lvlJc w:val="left"/>
      <w:lvlText w:val="%1:"/>
      <w:numFmt w:val="upperLetter"/>
      <w:start w:val="17"/>
    </w:lvl>
  </w:abstractNum>
  <w:abstractNum w:abstractNumId="28">
    <w:nsid w:val="14E17E33"/>
    <w:multiLevelType w:val="hybridMultilevel"/>
    <w:lvl w:ilvl="0">
      <w:lvlJc w:val="left"/>
      <w:lvlText w:val="%1:"/>
      <w:numFmt w:val="upperLetter"/>
      <w:start w:val="1"/>
    </w:lvl>
  </w:abstractNum>
  <w:abstractNum w:abstractNumId="29">
    <w:nsid w:val="3222E7CD"/>
    <w:multiLevelType w:val="hybridMultilevel"/>
    <w:lvl w:ilvl="0">
      <w:lvlJc w:val="left"/>
      <w:lvlText w:val="%1:"/>
      <w:numFmt w:val="upperLetter"/>
      <w:start w:val="17"/>
    </w:lvl>
  </w:abstractNum>
  <w:abstractNum w:abstractNumId="30">
    <w:nsid w:val="74DE0EE3"/>
    <w:multiLevelType w:val="hybridMultilevel"/>
    <w:lvl w:ilvl="0">
      <w:lvlJc w:val="left"/>
      <w:lvlText w:val="%1:"/>
      <w:numFmt w:val="upperLetter"/>
      <w:start w:val="1"/>
    </w:lvl>
  </w:abstractNum>
  <w:abstractNum w:abstractNumId="31">
    <w:nsid w:val="68EBC550"/>
    <w:multiLevelType w:val="hybridMultilevel"/>
    <w:lvl w:ilvl="0">
      <w:lvlJc w:val="left"/>
      <w:lvlText w:val="%1:"/>
      <w:numFmt w:val="upperLetter"/>
      <w:start w:val="17"/>
    </w:lvl>
  </w:abstractNum>
  <w:abstractNum w:abstractNumId="32">
    <w:nsid w:val="2DF6D648"/>
    <w:multiLevelType w:val="hybridMultilevel"/>
    <w:lvl w:ilvl="0">
      <w:lvlJc w:val="left"/>
      <w:lvlText w:val="%1:"/>
      <w:numFmt w:val="upperLetter"/>
      <w:start w:val="1"/>
    </w:lvl>
  </w:abstractNum>
  <w:abstractNum w:abstractNumId="33">
    <w:nsid w:val="46B7D447"/>
    <w:multiLevelType w:val="hybridMultilevel"/>
    <w:lvl w:ilvl="0">
      <w:lvlJc w:val="left"/>
      <w:lvlText w:val="%1:"/>
      <w:numFmt w:val="upperLetter"/>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lvl w:ilvl="1">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decimal"/>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1)"/>
      <w:numFmt w:val="lowerRoman"/>
      <w:start w:val="2"/>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decimal"/>
      <w:start w:val="2"/>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
      <w:numFmt w:val="bullet"/>
      <w:start w:val="1"/>
    </w:lvl>
  </w:abstractNum>
  <w:abstractNum w:abstractNumId="91">
    <w:nsid w:val="1DF029D3"/>
    <w:multiLevelType w:val="hybridMultilevel"/>
    <w:lvl w:ilvl="0">
      <w:lvlJc w:val="left"/>
      <w:lvlText w:val="•"/>
      <w:numFmt w:val="bullet"/>
      <w:start w:val="1"/>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1)"/>
      <w:numFmt w:val="lowerRoman"/>
      <w:start w:val="2"/>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1)"/>
      <w:numFmt w:val="upperLetter"/>
      <w:start w:val="1"/>
    </w:lvl>
  </w:abstractNum>
  <w:abstractNum w:abstractNumId="112">
    <w:nsid w:val="75E0858A"/>
    <w:multiLevelType w:val="hybridMultilevel"/>
    <w:lvl w:ilvl="0">
      <w:lvlJc w:val="left"/>
      <w:lvlText w:val="(%1)"/>
      <w:numFmt w:val="upperLetter"/>
      <w:start w:val="2"/>
    </w:lvl>
  </w:abstractNum>
  <w:abstractNum w:abstractNumId="113">
    <w:nsid w:val="57A61A29"/>
    <w:multiLevelType w:val="hybridMultilevel"/>
    <w:lvl w:ilvl="0">
      <w:lvlJc w:val="left"/>
      <w:lvlText w:val="(%1)"/>
      <w:numFmt w:val="upperLetter"/>
      <w:start w:val="6"/>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
      <w:numFmt w:val="bullet"/>
      <w:start w:val="1"/>
    </w:lvl>
  </w:abstractNum>
  <w:abstractNum w:abstractNumId="120">
    <w:nsid w:val="57D2F10E"/>
    <w:multiLevelType w:val="hybridMultilevel"/>
    <w:lvl w:ilvl="0">
      <w:lvlJc w:val="left"/>
      <w:lvlText w:val="•"/>
      <w:numFmt w:val="bullet"/>
      <w:start w:val="1"/>
    </w:lvl>
  </w:abstractNum>
  <w:abstractNum w:abstractNumId="121">
    <w:nsid w:val="BFFAE18"/>
    <w:multiLevelType w:val="hybridMultilevel"/>
    <w:lvl w:ilvl="0">
      <w:lvlJc w:val="left"/>
      <w:lvlText w:val="•"/>
      <w:numFmt w:val="bullet"/>
      <w:start w:val="1"/>
    </w:lvl>
  </w:abstractNum>
  <w:abstractNum w:abstractNumId="122">
    <w:nsid w:val="E3E47A8"/>
    <w:multiLevelType w:val="hybridMultilevel"/>
    <w:lvl w:ilvl="0">
      <w:lvlJc w:val="left"/>
      <w:lvlText w:val="•"/>
      <w:numFmt w:val="bullet"/>
      <w:start w:val="1"/>
    </w:lvl>
  </w:abstractNum>
  <w:abstractNum w:abstractNumId="123">
    <w:nsid w:val="2E48F044"/>
    <w:multiLevelType w:val="hybridMultilevel"/>
    <w:lvl w:ilvl="0">
      <w:lvlJc w:val="left"/>
      <w:lvlText w:val="•"/>
      <w:numFmt w:val="bullet"/>
      <w:start w:val="1"/>
    </w:lvl>
  </w:abstractNum>
  <w:abstractNum w:abstractNumId="124">
    <w:nsid w:val="49D0FEAC"/>
    <w:multiLevelType w:val="hybridMultilevel"/>
    <w:lvl w:ilvl="0">
      <w:lvlJc w:val="left"/>
      <w:lvlText w:val="•"/>
      <w:numFmt w:val="bullet"/>
      <w:start w:val="1"/>
    </w:lvl>
  </w:abstractNum>
  <w:abstractNum w:abstractNumId="125">
    <w:nsid w:val="4BEE5A5B"/>
    <w:multiLevelType w:val="hybridMultilevel"/>
    <w:lvl w:ilvl="0">
      <w:lvlJc w:val="left"/>
      <w:lvlText w:val="•"/>
      <w:numFmt w:val="bullet"/>
      <w:start w:val="1"/>
    </w:lvl>
  </w:abstractNum>
  <w:abstractNum w:abstractNumId="126">
    <w:nsid w:val="5551B9F3"/>
    <w:multiLevelType w:val="hybridMultilevel"/>
    <w:lvl w:ilvl="0">
      <w:lvlJc w:val="left"/>
      <w:lvlText w:val="•"/>
      <w:numFmt w:val="bullet"/>
      <w:start w:val="1"/>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1)"/>
      <w:numFmt w:val="decimal"/>
      <w:start w:val="1"/>
    </w:lvl>
  </w:abstractNum>
  <w:abstractNum w:abstractNumId="130">
    <w:nsid w:val="2A31B62D"/>
    <w:multiLevelType w:val="hybridMultilevel"/>
    <w:lvl w:ilvl="0">
      <w:lvlJc w:val="left"/>
      <w:lvlText w:val="•"/>
      <w:numFmt w:val="bullet"/>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lowerLetter"/>
      <w:start w:val="1"/>
    </w:lvl>
    <w:lvl w:ilvl="1">
      <w:lvlJc w:val="left"/>
      <w:lvlText w:val="%2."/>
      <w:numFmt w:val="lowerRoman"/>
      <w:start w:val="1"/>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lowerLetter"/>
      <w:start w:val="1"/>
    </w:lvl>
  </w:abstractNum>
  <w:abstractNum w:abstractNumId="135">
    <w:nsid w:val="2A6DE806"/>
    <w:multiLevelType w:val="hybridMultilevel"/>
    <w:lvl w:ilvl="0">
      <w:lvlJc w:val="left"/>
      <w:lvlText w:val="•"/>
      <w:numFmt w:val="bullet"/>
      <w:start w:val="1"/>
    </w:lvl>
  </w:abstractNum>
  <w:abstractNum w:abstractNumId="136">
    <w:nsid w:val="1816F8C4"/>
    <w:multiLevelType w:val="hybridMultilevel"/>
    <w:lvl w:ilvl="0">
      <w:lvlJc w:val="left"/>
      <w:lvlText w:val="%1."/>
      <w:numFmt w:val="decimal"/>
      <w:start w:val="5"/>
    </w:lvl>
  </w:abstractNum>
  <w:abstractNum w:abstractNumId="137">
    <w:nsid w:val="37DF2233"/>
    <w:multiLevelType w:val="hybridMultilevel"/>
    <w:lvl w:ilvl="0">
      <w:lvlJc w:val="left"/>
      <w:lvlText w:val="%1."/>
      <w:numFmt w:val="decimal"/>
      <w:start w:val="1"/>
    </w:lvl>
  </w:abstractNum>
  <w:abstractNum w:abstractNumId="138">
    <w:nsid w:val="7AB49DAF"/>
    <w:multiLevelType w:val="hybridMultilevel"/>
    <w:lvl w:ilvl="0">
      <w:lvlJc w:val="left"/>
      <w:lvlText w:val="%1."/>
      <w:numFmt w:val="decimal"/>
      <w:start w:val="2"/>
    </w:lvl>
  </w:abstractNum>
  <w:abstractNum w:abstractNumId="139">
    <w:nsid w:val="759F82CD"/>
    <w:multiLevelType w:val="hybridMultilevel"/>
    <w:lvl w:ilvl="0">
      <w:lvlJc w:val="left"/>
      <w:lvlText w:val="%1."/>
      <w:numFmt w:val="decimal"/>
      <w:start w:val="3"/>
    </w:lvl>
  </w:abstractNum>
  <w:abstractNum w:abstractNumId="140">
    <w:nsid w:val="61E74EA3"/>
    <w:multiLevelType w:val="hybridMultilevel"/>
    <w:lvl w:ilvl="0">
      <w:lvlJc w:val="left"/>
      <w:lvlText w:val="$"/>
      <w:numFmt w:val="bullet"/>
      <w:start w:val="1"/>
    </w:lvl>
    <w:lvl w:ilvl="1">
      <w:lvlJc w:val="left"/>
      <w:lvlText w:val="\emdash "/>
      <w:numFmt w:val="bullet"/>
      <w:start w:val="1"/>
    </w:lvl>
  </w:abstractNum>
  <w:abstractNum w:abstractNumId="141">
    <w:nsid w:val="597B4D84"/>
    <w:multiLevelType w:val="hybridMultilevel"/>
    <w:lvl w:ilvl="0">
      <w:lvlJc w:val="left"/>
      <w:lvlText w:val="%1"/>
      <w:numFmt w:val="decimal"/>
      <w:start w:val="750"/>
    </w:lvl>
  </w:abstractNum>
  <w:abstractNum w:abstractNumId="142">
    <w:nsid w:val="F819E7F"/>
    <w:multiLevelType w:val="hybridMultilevel"/>
    <w:lvl w:ilvl="0">
      <w:lvlJc w:val="left"/>
      <w:lvlText w:val="%1."/>
      <w:numFmt w:val="decimal"/>
      <w:start w:val="4"/>
    </w:lvl>
  </w:abstractNum>
  <w:abstractNum w:abstractNumId="143">
    <w:nsid w:val="57C7D42D"/>
    <w:multiLevelType w:val="hybridMultilevel"/>
    <w:lvl w:ilvl="0">
      <w:lvlJc w:val="left"/>
      <w:lvlText w:val="%1."/>
      <w:numFmt w:val="decimal"/>
      <w:start w:val="5"/>
    </w:lvl>
  </w:abstractNum>
  <w:abstractNum w:abstractNumId="144">
    <w:nsid w:val="312167AD"/>
    <w:multiLevelType w:val="hybridMultilevel"/>
    <w:lvl w:ilvl="0">
      <w:lvlJc w:val="left"/>
      <w:lvlText w:val="%1."/>
      <w:numFmt w:val="decimal"/>
      <w:start w:val="6"/>
    </w:lvl>
  </w:abstractNum>
  <w:abstractNum w:abstractNumId="145">
    <w:nsid w:val="631B64D4"/>
    <w:multiLevelType w:val="hybridMultilevel"/>
    <w:lvl w:ilvl="0">
      <w:lvlJc w:val="left"/>
      <w:lvlText w:val="%1."/>
      <w:numFmt w:val="decimal"/>
      <w:start w:val="7"/>
    </w:lvl>
  </w:abstractNum>
  <w:abstractNum w:abstractNumId="146">
    <w:nsid w:val="78B5E776"/>
    <w:multiLevelType w:val="hybridMultilevel"/>
    <w:lvl w:ilvl="0">
      <w:lvlJc w:val="left"/>
      <w:lvlText w:val="%1."/>
      <w:numFmt w:val="decimal"/>
      <w:start w:val="8"/>
    </w:lvl>
  </w:abstractNum>
  <w:abstractNum w:abstractNumId="147">
    <w:nsid w:val="75486E4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6" Type="http://schemas.openxmlformats.org/officeDocument/2006/relationships/image" Target="media/image8.pn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jpeg"/><Relationship Id="rId54" Type="http://schemas.openxmlformats.org/officeDocument/2006/relationships/image" Target="media/image26.png"/><Relationship Id="rId55" Type="http://schemas.openxmlformats.org/officeDocument/2006/relationships/image" Target="media/image27.jpeg"/><Relationship Id="rId56" Type="http://schemas.openxmlformats.org/officeDocument/2006/relationships/image" Target="media/image28.jpeg"/><Relationship Id="rId57" Type="http://schemas.openxmlformats.org/officeDocument/2006/relationships/image" Target="media/image29.jpeg"/><Relationship Id="rId58" Type="http://schemas.openxmlformats.org/officeDocument/2006/relationships/image" Target="media/image30.jpeg"/><Relationship Id="rId59" Type="http://schemas.openxmlformats.org/officeDocument/2006/relationships/image" Target="media/image31.jpeg"/><Relationship Id="rId60" Type="http://schemas.openxmlformats.org/officeDocument/2006/relationships/image" Target="media/image32.jpeg"/><Relationship Id="rId61" Type="http://schemas.openxmlformats.org/officeDocument/2006/relationships/image" Target="media/image33.png"/><Relationship Id="rId62" Type="http://schemas.openxmlformats.org/officeDocument/2006/relationships/image" Target="media/image34.jpeg"/><Relationship Id="rId63" Type="http://schemas.openxmlformats.org/officeDocument/2006/relationships/image" Target="media/image35.jpeg"/><Relationship Id="rId64" Type="http://schemas.openxmlformats.org/officeDocument/2006/relationships/image" Target="media/image36.jpeg"/><Relationship Id="rId65" Type="http://schemas.openxmlformats.org/officeDocument/2006/relationships/image" Target="media/image37.png"/><Relationship Id="rId66" Type="http://schemas.openxmlformats.org/officeDocument/2006/relationships/image" Target="media/image38.jpeg"/><Relationship Id="rId67" Type="http://schemas.openxmlformats.org/officeDocument/2006/relationships/image" Target="media/image39.jpeg"/><Relationship Id="rId68" Type="http://schemas.openxmlformats.org/officeDocument/2006/relationships/image" Target="media/image40.jpe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15" Type="http://schemas.openxmlformats.org/officeDocument/2006/relationships/hyperlink" Target="https://www.sec.gov/Archives/edgar/data/0001935979/000162828022022261/exhibit21-form101.htm" TargetMode="External"/><Relationship Id="rId16" Type="http://schemas.openxmlformats.org/officeDocument/2006/relationships/hyperlink" Target="https://www.sec.gov/Archives/edgar/data/0001935979/000162828022022261/exhibit22-form101.htm" TargetMode="External"/><Relationship Id="rId17" Type="http://schemas.openxmlformats.org/officeDocument/2006/relationships/hyperlink" Target="https://www.sec.gov/Archives/edgar/data/0001935979/000162828022022261/exhibit23-form101.htm" TargetMode="External"/><Relationship Id="rId18" Type="http://schemas.openxmlformats.org/officeDocument/2006/relationships/hyperlink" Target="https://www.sec.gov/Archives/edgar/data/1935979/000162828022024924/exhibit31-form10x12ba3.htm" TargetMode="External"/><Relationship Id="rId19" Type="http://schemas.openxmlformats.org/officeDocument/2006/relationships/hyperlink" Target="https://www.sec.gov/Archives/edgar/data/0001935979/000162828022022261/exhibit101-form101.htm" TargetMode="External"/><Relationship Id="rId20" Type="http://schemas.openxmlformats.org/officeDocument/2006/relationships/hyperlink" Target="https://www.sec.gov/Archives/edgar/data/0001935979/000162828022022261/exhibit102-form101.htm" TargetMode="External"/><Relationship Id="rId21" Type="http://schemas.openxmlformats.org/officeDocument/2006/relationships/hyperlink" Target="https://www.sec.gov/Archives/edgar/data/0001935979/000162828022022261/exhbiit103-form101.htm" TargetMode="External"/><Relationship Id="rId22" Type="http://schemas.openxmlformats.org/officeDocument/2006/relationships/hyperlink" Target="https://www.sec.gov/Archives/edgar/data/0001935979/000162828022022261/exhibit104-form101.htm" TargetMode="External"/><Relationship Id="rId23" Type="http://schemas.openxmlformats.org/officeDocument/2006/relationships/hyperlink" Target="https://www.sec.gov/Archives/edgar/data/0001935979/000162828022022261/exhibit105-form101.htm" TargetMode="External"/><Relationship Id="rId24" Type="http://schemas.openxmlformats.org/officeDocument/2006/relationships/hyperlink" Target="https://www.sec.gov/Archives/edgar/data/0001935979/000162828022022261/exhibit106-form101.htm" TargetMode="External"/><Relationship Id="rId25" Type="http://schemas.openxmlformats.org/officeDocument/2006/relationships/hyperlink" Target="https://www.sec.gov/Archives/edgar/data/0001935979/000162828022022261/exhibit107-form101.htm" TargetMode="External"/><Relationship Id="rId26" Type="http://schemas.openxmlformats.org/officeDocument/2006/relationships/hyperlink" Target="https://www.sec.gov/Archives/edgar/data/0001935979/000162828022022261/exhibit108-form101.htm" TargetMode="External"/><Relationship Id="rId27" Type="http://schemas.openxmlformats.org/officeDocument/2006/relationships/hyperlink" Target="https://www.sec.gov/Archives/edgar/data/0001935979/000162828022022261/exhibit109-form101.htm" TargetMode="External"/><Relationship Id="rId28" Type="http://schemas.openxmlformats.org/officeDocument/2006/relationships/hyperlink" Target="https://www.sec.gov/Archives/edgar/data/0001935979/000162828022022261/exhibit1010-form101.htm" TargetMode="External"/><Relationship Id="rId29" Type="http://schemas.openxmlformats.org/officeDocument/2006/relationships/hyperlink" Target="https://www.sec.gov/Archives/edgar/data/1935979/000162828022024448/exhibit1011-form10x12bax3.htm" TargetMode="External"/><Relationship Id="rId30" Type="http://schemas.openxmlformats.org/officeDocument/2006/relationships/hyperlink" Target="https://www.sec.gov/Archives/edgar/data/1935979/000162828022024448/exhibit1012-form10x12bax3.htm" TargetMode="External"/><Relationship Id="rId31" Type="http://schemas.openxmlformats.org/officeDocument/2006/relationships/hyperlink" Target="https://www.sec.gov/Archives/edgar/data/1935979/000162828022024448/exhibit1013-form10x12bax3.htm" TargetMode="External"/><Relationship Id="rId32" Type="http://schemas.openxmlformats.org/officeDocument/2006/relationships/hyperlink" Target="https://www.sec.gov/Archives/edgar/data/1935979/000162828022024448/exhibit1015-form10x12bax3.htm" TargetMode="External"/><Relationship Id="rId33" Type="http://schemas.openxmlformats.org/officeDocument/2006/relationships/hyperlink" Target="https://www.sec.gov/Archives/edgar/data/1935979/000162828022024448/exhibit1016-form10x12bax3.htm" TargetMode="External"/><Relationship Id="rId34" Type="http://schemas.openxmlformats.org/officeDocument/2006/relationships/hyperlink" Target="https://www.sec.gov/Archives/edgar/data/1935979/000162828022024448/exhibit1017-form10x12bax3.htm" TargetMode="External"/><Relationship Id="rId35" Type="http://schemas.openxmlformats.org/officeDocument/2006/relationships/hyperlink" Target="https://www.sec.gov/Archives/edgar/data/1935979/000162828022024924/exhibit211-biohavenresear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2022-09-20T05:37:21Z</dcterms:created>
  <dcterms:modified xsi:type="dcterms:W3CDTF">2022-09-20T05:37:21Z</dcterms:modified>
</cp:coreProperties>
</file>