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6236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62363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CHILDS JOHN 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BIOHAVEN LTD.</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215 CHURCH STREET</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NEW HAVEN</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06510</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Biohaven Ltd.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BHVN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00" w:type="dxa"/>
            <w:vAlign w:val="bottom"/>
            <w:tcBorders>
              <w:bottom w:val="single" w:sz="8" w:color="0000EE"/>
            </w:tcBorders>
          </w:tcPr>
          <w:p>
            <w:pPr>
              <w:spacing w:after="0"/>
              <w:rPr>
                <w:sz w:val="3"/>
                <w:szCs w:val="3"/>
                <w:color w:val="auto"/>
              </w:rPr>
            </w:pPr>
          </w:p>
        </w:tc>
        <w:tc>
          <w:tcPr>
            <w:tcW w:w="2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252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3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03/08/2024</w:t>
            </w:r>
          </w:p>
        </w:tc>
        <w:tc>
          <w:tcPr>
            <w:tcW w:w="2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34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16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tcPr>
          <w:p>
            <w:pPr>
              <w:ind w:left="6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2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2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jc w:val="right"/>
              <w:ind w:right="182"/>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John</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W Childs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7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0000FF"/>
              </w:rPr>
              <w:t>03/08/2024</w:t>
            </w:r>
          </w:p>
        </w:tc>
        <w:tc>
          <w:tcPr>
            <w:tcW w:w="1140" w:type="dxa"/>
            <w:vAlign w:val="bottom"/>
          </w:tcPr>
          <w:p>
            <w:pPr>
              <w:spacing w:after="0"/>
              <w:rPr>
                <w:sz w:val="18"/>
                <w:szCs w:val="18"/>
                <w:color w:val="auto"/>
              </w:rPr>
            </w:pPr>
          </w:p>
        </w:tc>
        <w:tc>
          <w:tcPr>
            <w:tcW w:w="800" w:type="dxa"/>
            <w:vAlign w:val="bottom"/>
          </w:tcPr>
          <w:p>
            <w:pPr>
              <w:ind w:left="100"/>
              <w:spacing w:after="0" w:line="213" w:lineRule="exact"/>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1"/>
                <w:szCs w:val="11"/>
                <w:color w:val="008000"/>
              </w:rPr>
              <w:t>(1)</w:t>
            </w:r>
          </w:p>
        </w:tc>
        <w:tc>
          <w:tcPr>
            <w:tcW w:w="7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19,412</w:t>
            </w:r>
          </w:p>
        </w:tc>
        <w:tc>
          <w:tcPr>
            <w:tcW w:w="5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Pr>
          <w:p>
            <w:pPr>
              <w:jc w:val="right"/>
              <w:ind w:right="162"/>
              <w:spacing w:after="0"/>
              <w:rPr>
                <w:sz w:val="20"/>
                <w:szCs w:val="20"/>
                <w:color w:val="auto"/>
              </w:rPr>
            </w:pPr>
            <w:r>
              <w:rPr>
                <w:rFonts w:ascii="Times New Roman" w:cs="Times New Roman" w:eastAsia="Times New Roman" w:hAnsi="Times New Roman"/>
                <w:sz w:val="11"/>
                <w:szCs w:val="11"/>
                <w:color w:val="008000"/>
              </w:rPr>
              <w:t>(1)</w:t>
            </w:r>
          </w:p>
        </w:tc>
        <w:tc>
          <w:tcPr>
            <w:tcW w:w="11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2,179,580</w:t>
            </w:r>
          </w:p>
        </w:tc>
        <w:tc>
          <w:tcPr>
            <w:tcW w:w="94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Revocable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4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2021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B-H</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3,998,952</w:t>
            </w:r>
          </w:p>
        </w:tc>
        <w:tc>
          <w:tcPr>
            <w:tcW w:w="94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Charitable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Remainder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244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agreement and plan of merger, dated as of January 7, 2024, common shares of the Issuer were issued to the Reporting Person on March 8, 2024. The acquisition of the acquired company pursuant to the agreement and plan of merger and the issuance of common shares of the Issuer to the Reporting Person in connection therewith were approved by the Board of the Issuer pursuant to Rule 16b-3.</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Matthew Buten,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03/08/2024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27035" TargetMode="External"/><Relationship Id="rId13" Type="http://schemas.openxmlformats.org/officeDocument/2006/relationships/hyperlink" Target="http://www.sec.gov/cgi-bin/browse-edgar?action=getcompany&amp;CIK=00019359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2024-03-08T17:40:55Z</dcterms:created>
  <dcterms:modified xsi:type="dcterms:W3CDTF">2024-03-08T17:40:55Z</dcterms:modified>
</cp:coreProperties>
</file>