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October 22,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Biohaven Ltd.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30"/>
        <w:gridCol w:w="1166"/>
        <w:gridCol w:w="1178"/>
        <w:gridCol w:w="762"/>
        <w:gridCol w:w="762"/>
        <w:gridCol w:w="770"/>
        <w:gridCol w:w="846"/>
        <w:gridCol w:w="846"/>
        <w:gridCol w:w="1203"/>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Virgin Islands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001-41477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c/o Biohaven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215 Church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Haven, Connecticut 06510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(203) 404-0410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33" w:type="dxa"/>
        <w:jc w:val="left"/>
        <w:tblInd w:w="0" w:type="dxa"/>
        <w:tblLayout w:type="fixed"/>
        <w:tblCellMar>
          <w:top w:w="28" w:type="dxa"/>
          <w:left w:w="28" w:type="dxa"/>
          <w:bottom w:w="28" w:type="dxa"/>
          <w:right w:w="28" w:type="dxa"/>
        </w:tblCellMar>
      </w:tblPr>
      <w:tblGrid>
        <w:gridCol w:w="918"/>
        <w:gridCol w:w="803"/>
        <w:gridCol w:w="813"/>
        <w:gridCol w:w="464"/>
        <w:gridCol w:w="464"/>
        <w:gridCol w:w="466"/>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BHVN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22, 2026, Biohaven Ltd. (the Company) provided an update on the spinocerebeller ataxia (SCA) program.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FDA has informed Biohaven that the company’s new drug application resubmission for Vyglxia (troriluzole) in SCA has been accepted for review. The resubmission included new positive supportive analyses.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FDA communicated that it considers the resubmission a complete response to the November 4, 2025 action letter, and has assigned a user fee goal date in the first quarter of 2027. The FDA plans to convene a meeting of the Peripheral and Central Nervous System Advisory Committee to obtain input from external stakeholders. The anticipated date of the advisory committee meeting will be forthcoming in the near term.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including statements regarding the FDA's review of the troriluzole NDA resubmission, the PDUFA target goal date and the potential for approval. The PDUFA target action date is a goal and does not assure that the FDA will act by that date or approve the NDA. The FDA may extend the review period, including if it determines that information submitted during the review constitutes a major amendment, may request additional information, or may issue a complete response letter. Troriluzole is an investigational drug and has not been approved for any indication in the United States.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These statements are subject to risks and uncertainties, including those described in Exhibit 99.1 and under the heading "Risk Factors" in the Company's most recent Annual Report on Form 10-K and subsequent Quarterly Reports on Form 10-Q, that could cause actual results to differ materially. The Company undertakes no obligation to update any forward-looking statement except as required by law.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both"/>
        <w:rPr/>
      </w:pPr>
      <w:r>
        <w:rPr/>
      </w:r>
    </w:p>
    <w:p>
      <w:pPr>
        <w:pStyle w:val="TextBody"/>
        <w:bidi w:val="0"/>
        <w:spacing w:lineRule="auto" w:line="333"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(d) Exhibits </w:t>
      </w:r>
    </w:p>
    <w:p>
      <w:pPr>
        <w:pStyle w:val="TextBody"/>
        <w:bidi w:val="0"/>
        <w:spacing w:before="0" w:after="0"/>
        <w:jc w:val="left"/>
        <w:rPr/>
      </w:pPr>
      <w:r>
        <w:rPr/>
      </w:r>
    </w:p>
    <w:tbl>
      <w:tblPr>
        <w:tblW w:w="826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885"/>
        <w:gridCol w:w="1885"/>
        <w:gridCol w:w="2680"/>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0"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Current Report on Form 8-K formatted as Inline 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bl>
      <w:tblPr>
        <w:tblW w:w="2659" w:type="dxa"/>
        <w:jc w:val="right"/>
        <w:tblInd w:w="0" w:type="dxa"/>
        <w:tblLayout w:type="fixed"/>
        <w:tblCellMar>
          <w:top w:w="28" w:type="dxa"/>
          <w:left w:w="28" w:type="dxa"/>
          <w:bottom w:w="28" w:type="dxa"/>
          <w:right w:w="28" w:type="dxa"/>
        </w:tblCellMar>
      </w:tblPr>
      <w:tblGrid>
        <w:gridCol w:w="236"/>
        <w:gridCol w:w="207"/>
        <w:gridCol w:w="207"/>
        <w:gridCol w:w="582"/>
        <w:gridCol w:w="582"/>
        <w:gridCol w:w="845"/>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6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Biohaven Ltd.</w:t>
            </w:r>
          </w:p>
        </w:tc>
      </w:tr>
      <w:tr>
        <w:trPr/>
        <w:tc>
          <w:tcPr>
            <w:tcW w:w="26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4117</Characters>
  <CharactersWithSpaces>4824</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