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U.S. Securities and Exchange Commission on October 2, 2023.</w:t>
      </w:r>
    </w:p>
    <w:p>
      <w:pPr>
        <w:spacing w:after="0" w:line="65" w:lineRule="exact"/>
        <w:rPr>
          <w:sz w:val="24"/>
          <w:szCs w:val="24"/>
          <w:color w:val="auto"/>
        </w:rPr>
      </w:pPr>
    </w:p>
    <w:p>
      <w:pPr>
        <w:ind w:left="96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tcPr>
          <w:p>
            <w:pPr>
              <w:jc w:val="center"/>
              <w:ind w:right="3453"/>
              <w:spacing w:after="0"/>
              <w:rPr>
                <w:sz w:val="20"/>
                <w:szCs w:val="20"/>
                <w:color w:val="auto"/>
              </w:rPr>
            </w:pPr>
            <w:r>
              <w:rPr>
                <w:rFonts w:ascii="Arial" w:cs="Arial" w:eastAsia="Arial" w:hAnsi="Arial"/>
                <w:sz w:val="18"/>
                <w:szCs w:val="18"/>
                <w:b w:val="1"/>
                <w:bCs w:val="1"/>
                <w:color w:val="auto"/>
                <w:w w:val="97"/>
              </w:rPr>
              <w:t>UNITED STATES</w:t>
            </w:r>
          </w:p>
        </w:tc>
      </w:tr>
      <w:tr>
        <w:trPr>
          <w:trHeight w:val="324"/>
        </w:trPr>
        <w:tc>
          <w:tcPr>
            <w:tcW w:w="3540" w:type="dxa"/>
            <w:vAlign w:val="bottom"/>
          </w:tcPr>
          <w:p>
            <w:pPr>
              <w:spacing w:after="0"/>
              <w:rPr>
                <w:sz w:val="24"/>
                <w:szCs w:val="24"/>
                <w:color w:val="auto"/>
              </w:rPr>
            </w:pPr>
          </w:p>
        </w:tc>
        <w:tc>
          <w:tcPr>
            <w:tcW w:w="7700" w:type="dxa"/>
            <w:vAlign w:val="bottom"/>
          </w:tcPr>
          <w:p>
            <w:pPr>
              <w:jc w:val="center"/>
              <w:ind w:right="3453"/>
              <w:spacing w:after="0"/>
              <w:rPr>
                <w:sz w:val="20"/>
                <w:szCs w:val="20"/>
                <w:color w:val="auto"/>
              </w:rPr>
            </w:pPr>
            <w:r>
              <w:rPr>
                <w:rFonts w:ascii="Arial" w:cs="Arial" w:eastAsia="Arial" w:hAnsi="Arial"/>
                <w:sz w:val="18"/>
                <w:szCs w:val="18"/>
                <w:b w:val="1"/>
                <w:bCs w:val="1"/>
                <w:color w:val="auto"/>
              </w:rPr>
              <w:t>SECURITIES AND EXCHANGE COMMISSION</w:t>
            </w:r>
          </w:p>
        </w:tc>
      </w:tr>
      <w:tr>
        <w:trPr>
          <w:trHeight w:val="324"/>
        </w:trPr>
        <w:tc>
          <w:tcPr>
            <w:tcW w:w="3540" w:type="dxa"/>
            <w:vAlign w:val="bottom"/>
          </w:tcPr>
          <w:p>
            <w:pPr>
              <w:spacing w:after="0"/>
              <w:rPr>
                <w:sz w:val="24"/>
                <w:szCs w:val="24"/>
                <w:color w:val="auto"/>
              </w:rPr>
            </w:pPr>
          </w:p>
        </w:tc>
        <w:tc>
          <w:tcPr>
            <w:tcW w:w="7700" w:type="dxa"/>
            <w:vAlign w:val="bottom"/>
          </w:tcPr>
          <w:p>
            <w:pPr>
              <w:jc w:val="center"/>
              <w:ind w:right="3433"/>
              <w:spacing w:after="0"/>
              <w:rPr>
                <w:sz w:val="20"/>
                <w:szCs w:val="20"/>
                <w:color w:val="auto"/>
              </w:rPr>
            </w:pPr>
            <w:r>
              <w:rPr>
                <w:rFonts w:ascii="Arial" w:cs="Arial" w:eastAsia="Arial" w:hAnsi="Arial"/>
                <w:sz w:val="18"/>
                <w:szCs w:val="18"/>
                <w:b w:val="1"/>
                <w:bCs w:val="1"/>
                <w:color w:val="auto"/>
                <w:w w:val="91"/>
              </w:rPr>
              <w:t>Washington, D.C. 20549</w:t>
            </w:r>
          </w:p>
        </w:tc>
      </w:tr>
      <w:tr>
        <w:trPr>
          <w:trHeight w:val="81"/>
        </w:trPr>
        <w:tc>
          <w:tcPr>
            <w:tcW w:w="3540" w:type="dxa"/>
            <w:vAlign w:val="bottom"/>
            <w:tcBorders>
              <w:bottom w:val="single" w:sz="8" w:color="auto"/>
            </w:tcBorders>
          </w:tcPr>
          <w:p>
            <w:pPr>
              <w:spacing w:after="0"/>
              <w:rPr>
                <w:sz w:val="7"/>
                <w:szCs w:val="7"/>
                <w:color w:val="auto"/>
              </w:rPr>
            </w:pPr>
          </w:p>
        </w:tc>
        <w:tc>
          <w:tcPr>
            <w:tcW w:w="7700" w:type="dxa"/>
            <w:vAlign w:val="bottom"/>
            <w:tcBorders>
              <w:bottom w:val="single" w:sz="8" w:color="auto"/>
            </w:tcBorders>
          </w:tcPr>
          <w:p>
            <w:pPr>
              <w:spacing w:after="0"/>
              <w:rPr>
                <w:sz w:val="7"/>
                <w:szCs w:val="7"/>
                <w:color w:val="auto"/>
              </w:rPr>
            </w:pPr>
          </w:p>
        </w:tc>
      </w:tr>
      <w:tr>
        <w:trPr>
          <w:trHeight w:val="345"/>
        </w:trPr>
        <w:tc>
          <w:tcPr>
            <w:tcW w:w="3540" w:type="dxa"/>
            <w:vAlign w:val="bottom"/>
          </w:tcPr>
          <w:p>
            <w:pPr>
              <w:spacing w:after="0"/>
              <w:rPr>
                <w:sz w:val="24"/>
                <w:szCs w:val="24"/>
                <w:color w:val="auto"/>
              </w:rPr>
            </w:pPr>
          </w:p>
        </w:tc>
        <w:tc>
          <w:tcPr>
            <w:tcW w:w="7700" w:type="dxa"/>
            <w:vAlign w:val="bottom"/>
          </w:tcPr>
          <w:p>
            <w:pPr>
              <w:jc w:val="center"/>
              <w:ind w:right="3453"/>
              <w:spacing w:after="0"/>
              <w:rPr>
                <w:sz w:val="20"/>
                <w:szCs w:val="20"/>
                <w:color w:val="auto"/>
              </w:rPr>
            </w:pPr>
            <w:r>
              <w:rPr>
                <w:rFonts w:ascii="Arial" w:cs="Arial" w:eastAsia="Arial" w:hAnsi="Arial"/>
                <w:sz w:val="18"/>
                <w:szCs w:val="18"/>
                <w:b w:val="1"/>
                <w:bCs w:val="1"/>
                <w:color w:val="auto"/>
                <w:w w:val="97"/>
              </w:rPr>
              <w:t>FORM S-3</w:t>
            </w:r>
          </w:p>
        </w:tc>
      </w:tr>
      <w:tr>
        <w:trPr>
          <w:trHeight w:val="306"/>
        </w:trPr>
        <w:tc>
          <w:tcPr>
            <w:tcW w:w="3540" w:type="dxa"/>
            <w:vAlign w:val="bottom"/>
          </w:tcPr>
          <w:p>
            <w:pPr>
              <w:spacing w:after="0"/>
              <w:rPr>
                <w:sz w:val="24"/>
                <w:szCs w:val="24"/>
                <w:color w:val="auto"/>
              </w:rPr>
            </w:pPr>
          </w:p>
        </w:tc>
        <w:tc>
          <w:tcPr>
            <w:tcW w:w="7700" w:type="dxa"/>
            <w:vAlign w:val="bottom"/>
          </w:tcPr>
          <w:p>
            <w:pPr>
              <w:jc w:val="center"/>
              <w:ind w:right="3433"/>
              <w:spacing w:after="0"/>
              <w:rPr>
                <w:sz w:val="20"/>
                <w:szCs w:val="20"/>
                <w:color w:val="auto"/>
              </w:rPr>
            </w:pPr>
            <w:r>
              <w:rPr>
                <w:rFonts w:ascii="Arial" w:cs="Arial" w:eastAsia="Arial" w:hAnsi="Arial"/>
                <w:sz w:val="18"/>
                <w:szCs w:val="18"/>
                <w:b w:val="1"/>
                <w:bCs w:val="1"/>
                <w:color w:val="auto"/>
              </w:rPr>
              <w:t>REGISTRATION STATEMENT</w:t>
            </w:r>
          </w:p>
        </w:tc>
      </w:tr>
      <w:tr>
        <w:trPr>
          <w:trHeight w:val="216"/>
        </w:trPr>
        <w:tc>
          <w:tcPr>
            <w:tcW w:w="3540" w:type="dxa"/>
            <w:vAlign w:val="bottom"/>
          </w:tcPr>
          <w:p>
            <w:pPr>
              <w:spacing w:after="0"/>
              <w:rPr>
                <w:sz w:val="18"/>
                <w:szCs w:val="18"/>
                <w:color w:val="auto"/>
              </w:rPr>
            </w:pPr>
          </w:p>
        </w:tc>
        <w:tc>
          <w:tcPr>
            <w:tcW w:w="7700" w:type="dxa"/>
            <w:vAlign w:val="bottom"/>
          </w:tcPr>
          <w:p>
            <w:pPr>
              <w:jc w:val="center"/>
              <w:ind w:right="3453"/>
              <w:spacing w:after="0"/>
              <w:rPr>
                <w:sz w:val="20"/>
                <w:szCs w:val="20"/>
                <w:color w:val="auto"/>
              </w:rPr>
            </w:pPr>
            <w:r>
              <w:rPr>
                <w:rFonts w:ascii="Arial" w:cs="Arial" w:eastAsia="Arial" w:hAnsi="Arial"/>
                <w:sz w:val="18"/>
                <w:szCs w:val="18"/>
                <w:b w:val="1"/>
                <w:bCs w:val="1"/>
                <w:color w:val="auto"/>
                <w:w w:val="99"/>
              </w:rPr>
              <w:t>UNDER</w:t>
            </w:r>
          </w:p>
        </w:tc>
      </w:tr>
      <w:tr>
        <w:trPr>
          <w:trHeight w:val="234"/>
        </w:trPr>
        <w:tc>
          <w:tcPr>
            <w:tcW w:w="3540" w:type="dxa"/>
            <w:vAlign w:val="bottom"/>
          </w:tcPr>
          <w:p>
            <w:pPr>
              <w:spacing w:after="0"/>
              <w:rPr>
                <w:sz w:val="20"/>
                <w:szCs w:val="20"/>
                <w:color w:val="auto"/>
              </w:rPr>
            </w:pPr>
          </w:p>
        </w:tc>
        <w:tc>
          <w:tcPr>
            <w:tcW w:w="7700" w:type="dxa"/>
            <w:vAlign w:val="bottom"/>
          </w:tcPr>
          <w:p>
            <w:pPr>
              <w:jc w:val="center"/>
              <w:ind w:right="3453"/>
              <w:spacing w:after="0"/>
              <w:rPr>
                <w:sz w:val="20"/>
                <w:szCs w:val="20"/>
                <w:color w:val="auto"/>
              </w:rPr>
            </w:pPr>
            <w:r>
              <w:rPr>
                <w:rFonts w:ascii="Arial" w:cs="Arial" w:eastAsia="Arial" w:hAnsi="Arial"/>
                <w:sz w:val="18"/>
                <w:szCs w:val="18"/>
                <w:b w:val="1"/>
                <w:bCs w:val="1"/>
                <w:color w:val="auto"/>
                <w:w w:val="99"/>
              </w:rPr>
              <w:t>THE SECURITIES ACT OF 1933</w:t>
            </w:r>
          </w:p>
        </w:tc>
      </w:tr>
      <w:tr>
        <w:trPr>
          <w:trHeight w:val="81"/>
        </w:trPr>
        <w:tc>
          <w:tcPr>
            <w:tcW w:w="3540" w:type="dxa"/>
            <w:vAlign w:val="bottom"/>
            <w:tcBorders>
              <w:bottom w:val="single" w:sz="8" w:color="auto"/>
            </w:tcBorders>
          </w:tcPr>
          <w:p>
            <w:pPr>
              <w:spacing w:after="0"/>
              <w:rPr>
                <w:sz w:val="7"/>
                <w:szCs w:val="7"/>
                <w:color w:val="auto"/>
              </w:rPr>
            </w:pPr>
          </w:p>
        </w:tc>
        <w:tc>
          <w:tcPr>
            <w:tcW w:w="7700" w:type="dxa"/>
            <w:vAlign w:val="bottom"/>
            <w:tcBorders>
              <w:bottom w:val="single" w:sz="8" w:color="auto"/>
            </w:tcBorders>
          </w:tcPr>
          <w:p>
            <w:pPr>
              <w:spacing w:after="0"/>
              <w:rPr>
                <w:sz w:val="7"/>
                <w:szCs w:val="7"/>
                <w:color w:val="auto"/>
              </w:rPr>
            </w:pPr>
          </w:p>
        </w:tc>
      </w:tr>
      <w:tr>
        <w:trPr>
          <w:trHeight w:val="420"/>
        </w:trPr>
        <w:tc>
          <w:tcPr>
            <w:tcW w:w="3540" w:type="dxa"/>
            <w:vAlign w:val="bottom"/>
          </w:tcPr>
          <w:p>
            <w:pPr>
              <w:spacing w:after="0"/>
              <w:rPr>
                <w:sz w:val="24"/>
                <w:szCs w:val="24"/>
                <w:color w:val="auto"/>
              </w:rPr>
            </w:pPr>
          </w:p>
        </w:tc>
        <w:tc>
          <w:tcPr>
            <w:tcW w:w="7700" w:type="dxa"/>
            <w:vAlign w:val="bottom"/>
          </w:tcPr>
          <w:p>
            <w:pPr>
              <w:jc w:val="center"/>
              <w:ind w:right="3453"/>
              <w:spacing w:after="0"/>
              <w:rPr>
                <w:sz w:val="20"/>
                <w:szCs w:val="20"/>
                <w:color w:val="auto"/>
              </w:rPr>
            </w:pPr>
            <w:r>
              <w:rPr>
                <w:rFonts w:ascii="Arial" w:cs="Arial" w:eastAsia="Arial" w:hAnsi="Arial"/>
                <w:sz w:val="25"/>
                <w:szCs w:val="25"/>
                <w:b w:val="1"/>
                <w:bCs w:val="1"/>
                <w:color w:val="auto"/>
              </w:rPr>
              <w:t>BIOHAVEN LTD.</w:t>
            </w:r>
          </w:p>
        </w:tc>
      </w:tr>
      <w:tr>
        <w:trPr>
          <w:trHeight w:val="277"/>
        </w:trPr>
        <w:tc>
          <w:tcPr>
            <w:tcW w:w="3540" w:type="dxa"/>
            <w:vAlign w:val="bottom"/>
          </w:tcPr>
          <w:p>
            <w:pPr>
              <w:spacing w:after="0"/>
              <w:rPr>
                <w:sz w:val="24"/>
                <w:szCs w:val="24"/>
                <w:color w:val="auto"/>
              </w:rPr>
            </w:pPr>
          </w:p>
        </w:tc>
        <w:tc>
          <w:tcPr>
            <w:tcW w:w="7700" w:type="dxa"/>
            <w:vAlign w:val="bottom"/>
          </w:tcPr>
          <w:p>
            <w:pPr>
              <w:jc w:val="center"/>
              <w:ind w:right="3433"/>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307"/>
        </w:trPr>
        <w:tc>
          <w:tcPr>
            <w:tcW w:w="3540" w:type="dxa"/>
            <w:vAlign w:val="bottom"/>
          </w:tcPr>
          <w:p>
            <w:pPr>
              <w:jc w:val="center"/>
              <w:ind w:left="157"/>
              <w:spacing w:after="0"/>
              <w:rPr>
                <w:sz w:val="20"/>
                <w:szCs w:val="20"/>
                <w:color w:val="auto"/>
              </w:rPr>
            </w:pPr>
            <w:r>
              <w:rPr>
                <w:rFonts w:ascii="Arial" w:cs="Arial" w:eastAsia="Arial" w:hAnsi="Arial"/>
                <w:sz w:val="13"/>
                <w:szCs w:val="13"/>
                <w:b w:val="1"/>
                <w:bCs w:val="1"/>
                <w:color w:val="auto"/>
                <w:w w:val="89"/>
              </w:rPr>
              <w:t>British Virgin Islands</w:t>
            </w:r>
          </w:p>
        </w:tc>
        <w:tc>
          <w:tcPr>
            <w:tcW w:w="7700" w:type="dxa"/>
            <w:vAlign w:val="bottom"/>
          </w:tcPr>
          <w:p>
            <w:pPr>
              <w:jc w:val="center"/>
              <w:ind w:left="3853"/>
              <w:spacing w:after="0"/>
              <w:rPr>
                <w:sz w:val="20"/>
                <w:szCs w:val="20"/>
                <w:color w:val="auto"/>
              </w:rPr>
            </w:pPr>
            <w:r>
              <w:rPr>
                <w:rFonts w:ascii="Arial" w:cs="Arial" w:eastAsia="Arial" w:hAnsi="Arial"/>
                <w:sz w:val="13"/>
                <w:szCs w:val="13"/>
                <w:b w:val="1"/>
                <w:bCs w:val="1"/>
                <w:color w:val="auto"/>
                <w:w w:val="87"/>
              </w:rPr>
              <w:t>Not Applicable</w:t>
            </w:r>
          </w:p>
        </w:tc>
      </w:tr>
      <w:tr>
        <w:trPr>
          <w:trHeight w:val="176"/>
        </w:trPr>
        <w:tc>
          <w:tcPr>
            <w:tcW w:w="3540" w:type="dxa"/>
            <w:vAlign w:val="bottom"/>
          </w:tcPr>
          <w:p>
            <w:pPr>
              <w:jc w:val="center"/>
              <w:ind w:left="157"/>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7700" w:type="dxa"/>
            <w:vAlign w:val="bottom"/>
          </w:tcPr>
          <w:p>
            <w:pPr>
              <w:jc w:val="center"/>
              <w:ind w:left="3873"/>
              <w:spacing w:after="0"/>
              <w:rPr>
                <w:sz w:val="20"/>
                <w:szCs w:val="20"/>
                <w:color w:val="auto"/>
              </w:rPr>
            </w:pPr>
            <w:r>
              <w:rPr>
                <w:rFonts w:ascii="Arial" w:cs="Arial" w:eastAsia="Arial" w:hAnsi="Arial"/>
                <w:sz w:val="13"/>
                <w:szCs w:val="13"/>
                <w:color w:val="auto"/>
                <w:w w:val="91"/>
              </w:rPr>
              <w:t>(I.R.S. Employer 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 Biohaven Pharmaceuticals,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215 Church Street</w:t>
      </w:r>
    </w:p>
    <w:p>
      <w:pPr>
        <w:jc w:val="center"/>
        <w:spacing w:after="0"/>
        <w:rPr>
          <w:sz w:val="20"/>
          <w:szCs w:val="20"/>
          <w:color w:val="auto"/>
        </w:rPr>
      </w:pPr>
      <w:r>
        <w:rPr>
          <w:rFonts w:ascii="Arial" w:cs="Arial" w:eastAsia="Arial" w:hAnsi="Arial"/>
          <w:sz w:val="13"/>
          <w:szCs w:val="13"/>
          <w:b w:val="1"/>
          <w:bCs w:val="1"/>
          <w:color w:val="auto"/>
        </w:rPr>
        <w:t>New Haven, Connecticut 06510</w:t>
      </w:r>
    </w:p>
    <w:p>
      <w:pPr>
        <w:jc w:val="center"/>
        <w:spacing w:after="0"/>
        <w:rPr>
          <w:sz w:val="20"/>
          <w:szCs w:val="20"/>
          <w:color w:val="auto"/>
        </w:rPr>
      </w:pPr>
      <w:r>
        <w:rPr>
          <w:rFonts w:ascii="Arial" w:cs="Arial" w:eastAsia="Arial" w:hAnsi="Arial"/>
          <w:sz w:val="13"/>
          <w:szCs w:val="13"/>
          <w:b w:val="1"/>
          <w:bCs w:val="1"/>
          <w:color w:val="auto"/>
        </w:rPr>
        <w:t>(203) 404-0410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4"/>
          <w:szCs w:val="24"/>
          <w:color w:val="auto"/>
        </w:rPr>
      </w:pPr>
    </w:p>
    <w:p>
      <w:pPr>
        <w:ind w:left="5160"/>
        <w:spacing w:after="0"/>
        <w:rPr>
          <w:sz w:val="20"/>
          <w:szCs w:val="20"/>
          <w:color w:val="auto"/>
        </w:rPr>
      </w:pPr>
      <w:r>
        <w:rPr>
          <w:rFonts w:ascii="Arial" w:cs="Arial" w:eastAsia="Arial" w:hAnsi="Arial"/>
          <w:sz w:val="13"/>
          <w:szCs w:val="13"/>
          <w:b w:val="1"/>
          <w:bCs w:val="1"/>
          <w:color w:val="auto"/>
        </w:rPr>
        <w:t>Vlad Coric, M.D.</w:t>
      </w:r>
    </w:p>
    <w:p>
      <w:pPr>
        <w:spacing w:after="0" w:line="15" w:lineRule="exact"/>
        <w:rPr>
          <w:sz w:val="24"/>
          <w:szCs w:val="24"/>
          <w:color w:val="auto"/>
        </w:rPr>
      </w:pPr>
    </w:p>
    <w:p>
      <w:pPr>
        <w:ind w:left="5000"/>
        <w:spacing w:after="0"/>
        <w:rPr>
          <w:sz w:val="20"/>
          <w:szCs w:val="20"/>
          <w:color w:val="auto"/>
        </w:rPr>
      </w:pPr>
      <w:r>
        <w:rPr>
          <w:rFonts w:ascii="Arial" w:cs="Arial" w:eastAsia="Arial" w:hAnsi="Arial"/>
          <w:sz w:val="13"/>
          <w:szCs w:val="13"/>
          <w:b w:val="1"/>
          <w:bCs w:val="1"/>
          <w:color w:val="auto"/>
        </w:rPr>
        <w:t>Chief Executive Officer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Biohaven Ltd.</w:t>
      </w:r>
    </w:p>
    <w:p>
      <w:pPr>
        <w:jc w:val="center"/>
        <w:spacing w:after="0"/>
        <w:rPr>
          <w:sz w:val="20"/>
          <w:szCs w:val="20"/>
          <w:color w:val="auto"/>
        </w:rPr>
      </w:pPr>
      <w:r>
        <w:rPr>
          <w:rFonts w:ascii="Arial" w:cs="Arial" w:eastAsia="Arial" w:hAnsi="Arial"/>
          <w:sz w:val="13"/>
          <w:szCs w:val="13"/>
          <w:b w:val="1"/>
          <w:bCs w:val="1"/>
          <w:color w:val="auto"/>
        </w:rPr>
        <w:t>c/o Biohaven Pharmaceuticals, Inc.</w:t>
      </w:r>
    </w:p>
    <w:p>
      <w:pPr>
        <w:jc w:val="center"/>
        <w:spacing w:after="0"/>
        <w:rPr>
          <w:sz w:val="20"/>
          <w:szCs w:val="20"/>
          <w:color w:val="auto"/>
        </w:rPr>
      </w:pPr>
      <w:r>
        <w:rPr>
          <w:rFonts w:ascii="Arial" w:cs="Arial" w:eastAsia="Arial" w:hAnsi="Arial"/>
          <w:sz w:val="13"/>
          <w:szCs w:val="13"/>
          <w:b w:val="1"/>
          <w:bCs w:val="1"/>
          <w:color w:val="auto"/>
        </w:rPr>
        <w:t>215 Church Street</w:t>
      </w:r>
    </w:p>
    <w:p>
      <w:pPr>
        <w:jc w:val="center"/>
        <w:spacing w:after="0"/>
        <w:rPr>
          <w:sz w:val="20"/>
          <w:szCs w:val="20"/>
          <w:color w:val="auto"/>
        </w:rPr>
      </w:pPr>
      <w:r>
        <w:rPr>
          <w:rFonts w:ascii="Arial" w:cs="Arial" w:eastAsia="Arial" w:hAnsi="Arial"/>
          <w:sz w:val="13"/>
          <w:szCs w:val="13"/>
          <w:b w:val="1"/>
          <w:bCs w:val="1"/>
          <w:color w:val="auto"/>
        </w:rPr>
        <w:t>New Haven, Connecticut 06510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(203) 404-0410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Copies to:</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Robert W. Downes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Sullivan &amp; Cromwell LLP</w:t>
      </w:r>
    </w:p>
    <w:p>
      <w:pPr>
        <w:jc w:val="center"/>
        <w:spacing w:after="0"/>
        <w:rPr>
          <w:sz w:val="20"/>
          <w:szCs w:val="20"/>
          <w:color w:val="auto"/>
        </w:rPr>
      </w:pPr>
      <w:r>
        <w:rPr>
          <w:rFonts w:ascii="Arial" w:cs="Arial" w:eastAsia="Arial" w:hAnsi="Arial"/>
          <w:sz w:val="13"/>
          <w:szCs w:val="13"/>
          <w:b w:val="1"/>
          <w:bCs w:val="1"/>
          <w:color w:val="auto"/>
        </w:rPr>
        <w:t>125 Broad Street</w:t>
      </w:r>
    </w:p>
    <w:p>
      <w:pPr>
        <w:jc w:val="center"/>
        <w:spacing w:after="0"/>
        <w:rPr>
          <w:sz w:val="20"/>
          <w:szCs w:val="20"/>
          <w:color w:val="auto"/>
        </w:rPr>
      </w:pPr>
      <w:r>
        <w:rPr>
          <w:rFonts w:ascii="Arial" w:cs="Arial" w:eastAsia="Arial" w:hAnsi="Arial"/>
          <w:sz w:val="13"/>
          <w:szCs w:val="13"/>
          <w:b w:val="1"/>
          <w:bCs w:val="1"/>
          <w:color w:val="auto"/>
        </w:rPr>
        <w:t>New York, NY 10004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(212) 558-4000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 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55" w:lineRule="exact"/>
        <w:rPr>
          <w:sz w:val="24"/>
          <w:szCs w:val="24"/>
          <w:color w:val="auto"/>
        </w:rPr>
      </w:pPr>
    </w:p>
    <w:p>
      <w:pPr>
        <w:ind w:right="60"/>
        <w:spacing w:after="0" w:line="19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4" w:lineRule="exact"/>
        <w:rPr>
          <w:sz w:val="24"/>
          <w:szCs w:val="24"/>
          <w:color w:val="auto"/>
        </w:rPr>
      </w:pPr>
    </w:p>
    <w:p>
      <w:pPr>
        <w:ind w:right="540"/>
        <w:spacing w:after="0" w:line="191"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16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220"/>
        <w:spacing w:after="0" w:line="191"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4" w:lineRule="exact"/>
        <w:rPr>
          <w:sz w:val="24"/>
          <w:szCs w:val="24"/>
          <w:color w:val="auto"/>
        </w:rPr>
      </w:pPr>
    </w:p>
    <w:p>
      <w:pPr>
        <w:ind w:right="140"/>
        <w:spacing w:after="0" w:line="191"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0" w:lineRule="exact"/>
        <w:rPr>
          <w:sz w:val="24"/>
          <w:szCs w:val="24"/>
          <w:color w:val="auto"/>
        </w:rPr>
      </w:pPr>
    </w:p>
    <w:p>
      <w:pPr>
        <w:ind w:right="4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98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7" w:lineRule="exact"/>
        <w:rPr>
          <w:sz w:val="24"/>
          <w:szCs w:val="24"/>
          <w:color w:val="auto"/>
        </w:rPr>
      </w:pPr>
    </w:p>
    <w:p>
      <w:pPr>
        <w:ind w:right="60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120015</wp:posOffset>
            </wp:positionV>
            <wp:extent cx="280289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28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Biohaven Ltd.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From time to time, we, and certain selling shareholders to be named in prospectus supplement(s) that may be provided in the future, may offer the securities described in this prospectus, either individually or in combination, in one or more classes or series, in amounts, at prices and on terms that will be determined at the time of the offering. Information about any selling shareholder and its resale of common shares, including the relationship between such selling shareholder and us and the amounts, prices and other terms of the applicable offering, will be included in the applicable prospectus supplement.</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intend to use the net proceeds from the sale of our securities offered by us for general corporate purposes unless otherwise specified in the applicable prospectus supplement. We will not receive any of the proceeds from the sale of common shares by any selling shareholder. We will pay all of the fees and expenses incurred in connection with the registration of the common shares. We will not bear any underwriting discounts and selling commissions or similar selling expenses incurred in connection with the offering of the common shares by any selling shareholder.</w:t>
      </w:r>
    </w:p>
    <w:p>
      <w:pPr>
        <w:spacing w:after="0" w:line="11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will provide the specific terms of the securities to be offered in one or more supplements to this prospectus. The specific plan of distribution for any securities to be offered will also be provided in a prospectus supplement. Prospectus supplements may also add, update or change information in this prospectus. You should read this prospectus and the applicable prospectus supplement, together with additional information described under “Where You Can Find Additional Information,” carefully before you invest in our securities. This prospectus may not be used to offer and sell our securities unless accompanied by a prospectus supplement describing the method and terms of the offering of those offered securities.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offer and sell the securities directly, through agents we select from time to time or to or through underwriters or dealers we select, or through a combination of these methods. If we use any agents, underwriters or dealers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shares are listed on the New York Stock Exchange, or the NYSE, under the symbol “BHVN.” Each prospectus supplement will indicate if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Investing in any of our securities involves a high degree of risk. Please read carefully the section entitled “</w:t>
      </w:r>
      <w:r>
        <w:rPr>
          <w:rFonts w:ascii="Arial" w:cs="Arial" w:eastAsia="Arial" w:hAnsi="Arial"/>
          <w:sz w:val="18"/>
          <w:szCs w:val="18"/>
          <w:b w:val="1"/>
          <w:bCs w:val="1"/>
          <w:u w:val="single" w:color="auto"/>
          <w:color w:val="0000FF"/>
        </w:rPr>
        <w:t>Risk Factors</w:t>
      </w:r>
      <w:r>
        <w:rPr>
          <w:rFonts w:ascii="Arial" w:cs="Arial" w:eastAsia="Arial" w:hAnsi="Arial"/>
          <w:sz w:val="18"/>
          <w:szCs w:val="18"/>
          <w:b w:val="1"/>
          <w:bCs w:val="1"/>
          <w:color w:val="auto"/>
        </w:rPr>
        <w:t xml:space="preserve">” on page </w:t>
      </w:r>
      <w:r>
        <w:rPr>
          <w:rFonts w:ascii="Arial" w:cs="Arial" w:eastAsia="Arial" w:hAnsi="Arial"/>
          <w:sz w:val="18"/>
          <w:szCs w:val="18"/>
          <w:b w:val="1"/>
          <w:bCs w:val="1"/>
          <w:u w:val="single" w:color="auto"/>
          <w:color w:val="0000FF"/>
        </w:rPr>
        <w:t>6</w:t>
      </w:r>
      <w:r>
        <w:rPr>
          <w:rFonts w:ascii="Arial" w:cs="Arial" w:eastAsia="Arial" w:hAnsi="Arial"/>
          <w:sz w:val="18"/>
          <w:szCs w:val="18"/>
          <w:b w:val="1"/>
          <w:bCs w:val="1"/>
          <w:color w:val="auto"/>
        </w:rPr>
        <w:t xml:space="preserve"> of this prospectus, the “Risk Factors” section contained in the applicable prospectus supplement and the information included and incorporated by reference in this prospectus and the applicable prospectus supplement.</w:t>
      </w:r>
    </w:p>
    <w:p>
      <w:pPr>
        <w:spacing w:after="0" w:line="122" w:lineRule="exact"/>
        <w:rPr>
          <w:sz w:val="20"/>
          <w:szCs w:val="20"/>
          <w:color w:val="auto"/>
        </w:rPr>
      </w:pPr>
    </w:p>
    <w:p>
      <w:pPr>
        <w:ind w:right="8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No dealer, salesperson or other person is authorized to give any information or to represent anything not contained in this prospectus or any accompanying prospectus supplement. This prospectus and any accompanying prospectus supplement together are an offer to sell only the securities offered hereby and thereby, but only under circumstances and in jurisdictions where it is lawful to do so. The information contained in this prospectus and any accompanying prospectus supplement is current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240" w:type="dxa"/>
            <w:vAlign w:val="bottom"/>
            <w:gridSpan w:val="9"/>
            <w:vMerge w:val="restart"/>
          </w:tcPr>
          <w:p>
            <w:pPr>
              <w:spacing w:after="0"/>
              <w:rPr>
                <w:sz w:val="20"/>
                <w:szCs w:val="20"/>
                <w:color w:val="auto"/>
              </w:rPr>
            </w:pPr>
            <w:r>
              <w:rPr>
                <w:rFonts w:ascii="Arial" w:cs="Arial" w:eastAsia="Arial" w:hAnsi="Arial"/>
                <w:sz w:val="18"/>
                <w:szCs w:val="18"/>
                <w:color w:val="0000FF"/>
                <w:w w:val="92"/>
              </w:rPr>
              <w:t>ABOUT THIS PROSPECTUS</w:t>
            </w:r>
          </w:p>
        </w:tc>
        <w:tc>
          <w:tcPr>
            <w:tcW w:w="8120" w:type="dxa"/>
            <w:vAlign w:val="bottom"/>
            <w:gridSpan w:val="9"/>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9"/>
            <w:vMerge w:val="continue"/>
          </w:tcPr>
          <w:p>
            <w:pPr>
              <w:spacing w:after="0"/>
              <w:rPr>
                <w:sz w:val="15"/>
                <w:szCs w:val="15"/>
                <w:color w:val="auto"/>
              </w:rPr>
            </w:pPr>
          </w:p>
        </w:tc>
        <w:tc>
          <w:tcPr>
            <w:tcW w:w="8120" w:type="dxa"/>
            <w:vAlign w:val="bottom"/>
            <w:gridSpan w:val="9"/>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7"/>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5"/>
          </w:tcPr>
          <w:p>
            <w:pPr>
              <w:spacing w:after="0"/>
              <w:rPr>
                <w:sz w:val="20"/>
                <w:szCs w:val="20"/>
                <w:color w:val="auto"/>
              </w:rPr>
            </w:pPr>
            <w:r>
              <w:rPr>
                <w:rFonts w:ascii="Arial" w:cs="Arial" w:eastAsia="Arial" w:hAnsi="Arial"/>
                <w:sz w:val="18"/>
                <w:szCs w:val="18"/>
                <w:color w:val="0000FF"/>
                <w:w w:val="98"/>
              </w:rPr>
              <w:t>WHERE YOU CAN FIND ADDITIONAL INFORMATION</w:t>
            </w:r>
          </w:p>
        </w:tc>
        <w:tc>
          <w:tcPr>
            <w:tcW w:w="920" w:type="dxa"/>
            <w:vAlign w:val="bottom"/>
            <w:gridSpan w:val="2"/>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8"/>
          </w:tcPr>
          <w:p>
            <w:pPr>
              <w:spacing w:after="0"/>
              <w:rPr>
                <w:sz w:val="20"/>
                <w:szCs w:val="20"/>
                <w:color w:val="auto"/>
              </w:rPr>
            </w:pPr>
            <w:r>
              <w:rPr>
                <w:rFonts w:ascii="Arial" w:cs="Arial" w:eastAsia="Arial" w:hAnsi="Arial"/>
                <w:sz w:val="18"/>
                <w:szCs w:val="18"/>
                <w:color w:val="0000FF"/>
              </w:rPr>
              <w:t>INCORPORATION OF CERTAIN INFORMATION BY REFERENCE</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Arial" w:cs="Arial" w:eastAsia="Arial" w:hAnsi="Arial"/>
                <w:sz w:val="18"/>
                <w:szCs w:val="18"/>
                <w:color w:val="0000FF"/>
                <w:w w:val="93"/>
              </w:rPr>
              <w:t>RISK FACTORS</w:t>
            </w:r>
          </w:p>
        </w:tc>
        <w:tc>
          <w:tcPr>
            <w:tcW w:w="3920" w:type="dxa"/>
            <w:vAlign w:val="bottom"/>
            <w:gridSpan w:val="14"/>
          </w:tcPr>
          <w:p>
            <w:pPr>
              <w:spacing w:after="0"/>
              <w:rPr>
                <w:sz w:val="18"/>
                <w:szCs w:val="18"/>
                <w:color w:val="auto"/>
              </w:rPr>
            </w:pPr>
          </w:p>
        </w:tc>
        <w:tc>
          <w:tcPr>
            <w:tcW w:w="518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THE COMPANY</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8"/>
          </w:tcPr>
          <w:p>
            <w:pPr>
              <w:spacing w:after="0"/>
              <w:rPr>
                <w:sz w:val="20"/>
                <w:szCs w:val="20"/>
                <w:color w:val="auto"/>
              </w:rPr>
            </w:pPr>
            <w:r>
              <w:rPr>
                <w:rFonts w:ascii="Arial" w:cs="Arial" w:eastAsia="Arial" w:hAnsi="Arial"/>
                <w:sz w:val="18"/>
                <w:szCs w:val="18"/>
                <w:color w:val="0000FF"/>
              </w:rPr>
              <w:t>USE OF PROCEEDS</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1"/>
          </w:tcPr>
          <w:p>
            <w:pPr>
              <w:spacing w:after="0"/>
              <w:rPr>
                <w:sz w:val="20"/>
                <w:szCs w:val="20"/>
                <w:color w:val="auto"/>
              </w:rPr>
            </w:pPr>
            <w:r>
              <w:rPr>
                <w:rFonts w:ascii="Arial" w:cs="Arial" w:eastAsia="Arial" w:hAnsi="Arial"/>
                <w:sz w:val="18"/>
                <w:szCs w:val="18"/>
                <w:color w:val="0000FF"/>
                <w:w w:val="95"/>
              </w:rPr>
              <w:t>DESCRIPTION OF SHARE CAPITAL</w:t>
            </w:r>
          </w:p>
        </w:tc>
        <w:tc>
          <w:tcPr>
            <w:tcW w:w="748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DESCRIPTION OF DEPOSITARY SHARES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DESCRIPTION OF DEBT SECURITIES</w:t>
            </w:r>
          </w:p>
        </w:tc>
        <w:tc>
          <w:tcPr>
            <w:tcW w:w="704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DESCRIPTION OF WARRANTS</w:t>
            </w:r>
          </w:p>
        </w:tc>
        <w:tc>
          <w:tcPr>
            <w:tcW w:w="734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DESCRIPTION OF RIGHTS</w:t>
            </w:r>
          </w:p>
        </w:tc>
        <w:tc>
          <w:tcPr>
            <w:tcW w:w="788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4"/>
              </w:rPr>
              <w:t>DESCRIPTION OF PURCHASE CONTRACTS</w:t>
            </w:r>
          </w:p>
        </w:tc>
        <w:tc>
          <w:tcPr>
            <w:tcW w:w="680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DESCRIPTION OF UNITS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SELLING SHAREHOLDERS</w:t>
            </w:r>
          </w:p>
        </w:tc>
        <w:tc>
          <w:tcPr>
            <w:tcW w:w="812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PLAN OF DISTRIBUTION</w:t>
            </w:r>
          </w:p>
        </w:tc>
        <w:tc>
          <w:tcPr>
            <w:tcW w:w="830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VALIDITY OF SECURITIES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1400" w:type="dxa"/>
            <w:vAlign w:val="bottom"/>
            <w:tcBorders>
              <w:top w:val="single" w:sz="8" w:color="0000FF"/>
            </w:tcBorders>
            <w:gridSpan w:val="7"/>
          </w:tcPr>
          <w:p>
            <w:pPr>
              <w:spacing w:after="0"/>
              <w:rPr>
                <w:sz w:val="18"/>
                <w:szCs w:val="18"/>
                <w:color w:val="auto"/>
              </w:rPr>
            </w:pPr>
          </w:p>
        </w:tc>
        <w:tc>
          <w:tcPr>
            <w:tcW w:w="8180" w:type="dxa"/>
            <w:vAlign w:val="bottom"/>
            <w:gridSpan w:val="10"/>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3" w:name="page4"/>
    <w:bookmarkEnd w:id="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prospectus is a part of a registration statement that we filed with the Securities and Exchange Commission (the “SEC”) using a “shelf” registration process.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permitted under the rules of the SEC, this prospectus incorporates important business information about Biohaven Ltd. that is contained in documents that we file with the SEC, but that is not included in or delivered with this prospectus. You may obtain copies of these documents, without charge, from the web site maintained by the SEC at www.sec.gov, as well as other sources. See “Where You Can Find Additional Information.” Before purchasing any securities, you should carefully read both this prospectus and any prospectus supplement, together with the additional information described under the headings “Where You Can Find Additional Information” and “Incorporation of Certain Information By Reference.”</w:t>
      </w:r>
    </w:p>
    <w:p>
      <w:pPr>
        <w:spacing w:after="0" w:line="1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Neither we, any selling shareholders nor any underwriters, agents or dealers have authorized any other person to provide you with information other than the information contained or incorporated by reference in this prospectus, any prospectus supplement and any free writing prospectus prepared by or on behalf of us or to which we have referred you. Neither we, any selling shareholders nor any underwriters take any responsibility for, or can provide assurance as to the reliability of, any other information that others may give you. You should assume that the information contained in this prospectus, any prospectus supplement or any free writing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We are not making offers to sell the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to “Biohaven”, “the Company”, “we”, “us”, “our” or similar references mean Biohaven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that involve risks and uncertainties. We make such forward-looking statements pursuant to the safe harbor provisions of the U.S. Private Securities Litigation Reform Act of 1995 and other securities laws. All statements other than statements of historical facts contained in this prospectus and the documents incorporated by reference herein, including statements regarding our future results of operations and financial position, strategy and plans, and our expectations for future operations, are forward-looking statements. In some cases, you can identify forward-looking statements by terminology such as “believe,” “may,” “will,” “estimate,” “continue,” “anticipate,” “design,” “intend,” “expect,” “could,” “plan,” “potential,” “predict,” “seek,” “should,” “would” or the negative of these terms or other comparable terminology. Forward-looking statements are not guarantees of performance, are based on certain assumptions, discuss future expectations, describe plans and strategies or state other forward-looking information. These forward-looking statements include, but are not limited to, statements about:</w:t>
      </w:r>
    </w:p>
    <w:p>
      <w:pPr>
        <w:spacing w:after="0" w:line="111" w:lineRule="exact"/>
        <w:rPr>
          <w:sz w:val="20"/>
          <w:szCs w:val="20"/>
          <w:color w:val="auto"/>
        </w:rPr>
      </w:pPr>
    </w:p>
    <w:p>
      <w:pPr>
        <w:ind w:left="660" w:right="2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ongoing and planned clinical trials, including discovery and proof of concept trials, the status of our ongoing clinical trials, commencement dates for new clinical trials, and the timing of clinical trial results;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anticipated future milestones, contingent and royalty payments and lease payments (and, in each case, their expected impact on liquidity);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future revenues, expenses and needs for additional financing.</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reflected in such forward-looking statements and that should be considered in evaluating our outlook include, but are not limited to, the following:</w:t>
      </w:r>
    </w:p>
    <w:p>
      <w:pPr>
        <w:spacing w:after="0" w:line="116" w:lineRule="exact"/>
        <w:rPr>
          <w:sz w:val="20"/>
          <w:szCs w:val="20"/>
          <w:color w:val="auto"/>
        </w:rPr>
      </w:pPr>
    </w:p>
    <w:p>
      <w:pPr>
        <w:ind w:left="660" w:right="40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 from our separation (the “Separation”) from Biohaven Pharmaceutical Holding Company Ltd. making it more difficult to maintain business and operational relationships;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of litigation and/or regulatory actions related to the Separation or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business combinations or disposals;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the Company’s ongoing business operation;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 or product candidates, and our estimates regarding the potential market opportunity for our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 including our competitors and competing products (including biosimilars);</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economic conditions, including increases in interest rates and inflation, on the costs of raw materials, wages, manufacturing and clinical trials and on borrowing costs;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anticipated amounts of future tax payments and benefits (including the potential recognition of unrecognized tax benefits), as well as timing of conclusion of tax audits;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44" w:lineRule="exact"/>
        <w:rPr>
          <w:sz w:val="20"/>
          <w:szCs w:val="20"/>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identified elsewhere in this prospectus or in our filings with the SEC that are incorporated by reference herein, including those factors described in our Annual Report on Form 10-K for the year ended December 31, 2022 and our Quarterly Report on Form 10-Q for the quarter ended June 30, 2023.</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forward-looking statements in this prospectus or the documents incorporated by reference herein reflect our views as of the date of this prospectus or the incorporated document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expectations include, among other things, those described under “ Risk Factors” and elsewhere in this prospectus. Given these uncertainties, you should not place undue reliance on any forward-looking statements. Except as required by law, we assume no obligation to update or revise any forward-looking statements for any reason, even if new information becomes available in the future.</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prospectus and the documents incorporated by reference herein contain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analyses that may, in the future, not prove to have been accurate.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6" w:name="page7"/>
    <w:bookmarkEnd w:id="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the information reporting requirements of the Securities Exchange Act of 1934 (the “Exchange Act”), and we have filed and will file reports, proxy statements and other information with the SEC. These reports, proxy statements and other information are available on the SEC’s website at http://www.sec.gov. We also maintain a website at www.biohaven.com,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and does not contain all of the information in the registration statement. The full registration statement may be obtained from the SEC or us, as provided in “Incorporation of Certain Information by Reference”. Documents establishing the terms of the offered securities are or may be filed as exhibits to the registration statement. Statements in this prospectus and any accompanying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or our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 (File No. 001-41477):</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21">
        <w:r>
          <w:rPr>
            <w:rFonts w:ascii="Arial" w:cs="Arial" w:eastAsia="Arial" w:hAnsi="Arial"/>
            <w:sz w:val="18"/>
            <w:szCs w:val="18"/>
            <w:u w:val="single" w:color="auto"/>
            <w:color w:val="0000FF"/>
          </w:rPr>
          <w:t>December 31, 2022</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22">
        <w:r>
          <w:rPr>
            <w:rFonts w:ascii="Arial" w:cs="Arial" w:eastAsia="Arial" w:hAnsi="Arial"/>
            <w:sz w:val="18"/>
            <w:szCs w:val="18"/>
            <w:u w:val="single" w:color="auto"/>
            <w:color w:val="0000FF"/>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3">
        <w:r>
          <w:rPr>
            <w:rFonts w:ascii="Arial" w:cs="Arial" w:eastAsia="Arial" w:hAnsi="Arial"/>
            <w:sz w:val="18"/>
            <w:szCs w:val="18"/>
            <w:u w:val="single" w:color="auto"/>
            <w:color w:val="0000FF"/>
          </w:rPr>
          <w:t>June 30, 2023</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with the SEC on </w:t>
      </w:r>
      <w:hyperlink r:id="rId24">
        <w:r>
          <w:rPr>
            <w:rFonts w:ascii="Arial" w:cs="Arial" w:eastAsia="Arial" w:hAnsi="Arial"/>
            <w:sz w:val="18"/>
            <w:szCs w:val="18"/>
            <w:u w:val="single" w:color="auto"/>
            <w:color w:val="0000FF"/>
          </w:rPr>
          <w:t>May 4, 2023</w:t>
        </w:r>
      </w:hyperlink>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our common shares contained in our Registration Statement on Form 10 filed on </w:t>
      </w:r>
      <w:hyperlink r:id="rId25">
        <w:r>
          <w:rPr>
            <w:rFonts w:ascii="Arial" w:cs="Arial" w:eastAsia="Arial" w:hAnsi="Arial"/>
            <w:sz w:val="18"/>
            <w:szCs w:val="18"/>
            <w:u w:val="single" w:color="auto"/>
            <w:color w:val="0000FF"/>
          </w:rPr>
          <w:t>September 20, 2022</w:t>
        </w:r>
      </w:hyperlink>
      <w:r>
        <w:rPr>
          <w:rFonts w:ascii="Arial" w:cs="Arial" w:eastAsia="Arial" w:hAnsi="Arial"/>
          <w:sz w:val="18"/>
          <w:szCs w:val="18"/>
          <w:color w:val="auto"/>
        </w:rPr>
        <w:t>, and any amendments or reports filed with the SEC for the purpose of updating the description.</w:t>
      </w:r>
    </w:p>
    <w:p>
      <w:pPr>
        <w:spacing w:after="0" w:line="116" w:lineRule="exact"/>
        <w:rPr>
          <w:rFonts w:ascii="Arial" w:cs="Arial" w:eastAsia="Arial" w:hAnsi="Arial"/>
          <w:sz w:val="18"/>
          <w:szCs w:val="18"/>
          <w:color w:val="auto"/>
        </w:rPr>
      </w:pPr>
    </w:p>
    <w:p>
      <w:pPr>
        <w:ind w:right="120"/>
        <w:spacing w:after="0" w:line="277" w:lineRule="auto"/>
        <w:rPr>
          <w:sz w:val="20"/>
          <w:szCs w:val="20"/>
          <w:color w:val="auto"/>
        </w:rPr>
      </w:pPr>
      <w:r>
        <w:rPr>
          <w:rFonts w:ascii="Arial" w:cs="Arial" w:eastAsia="Arial" w:hAnsi="Arial"/>
          <w:sz w:val="18"/>
          <w:szCs w:val="18"/>
          <w:color w:val="auto"/>
        </w:rPr>
        <w:t>We are also incorporating by reference any future filings that we make with the SEC under Section 13(a), 13(c), 14 or 15(d) of the Exchange Act after the date of this prospectus.</w:t>
      </w:r>
    </w:p>
    <w:p>
      <w:pPr>
        <w:spacing w:after="0" w:line="116" w:lineRule="exact"/>
        <w:rPr>
          <w:rFonts w:ascii="Arial" w:cs="Arial" w:eastAsia="Arial" w:hAnsi="Arial"/>
          <w:sz w:val="18"/>
          <w:szCs w:val="18"/>
          <w:color w:val="auto"/>
        </w:rPr>
      </w:pPr>
    </w:p>
    <w:p>
      <w:pPr>
        <w:ind w:right="200"/>
        <w:spacing w:after="0" w:line="308" w:lineRule="auto"/>
        <w:rPr>
          <w:sz w:val="20"/>
          <w:szCs w:val="20"/>
          <w:color w:val="auto"/>
        </w:rPr>
      </w:pPr>
      <w:r>
        <w:rPr>
          <w:rFonts w:ascii="Arial" w:cs="Arial" w:eastAsia="Arial" w:hAnsi="Arial"/>
          <w:sz w:val="17"/>
          <w:szCs w:val="17"/>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92" w:lineRule="exact"/>
        <w:rPr>
          <w:rFonts w:ascii="Arial" w:cs="Arial" w:eastAsia="Arial" w:hAnsi="Arial"/>
          <w:sz w:val="18"/>
          <w:szCs w:val="18"/>
          <w:color w:val="auto"/>
        </w:rPr>
      </w:pPr>
    </w:p>
    <w:p>
      <w:pPr>
        <w:ind w:right="380"/>
        <w:spacing w:after="0" w:line="31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 this prospectus, including exhibits to these documents. You should direct any requests for documents either in writing to Biohaven Ltd., Attn: Corporate Secretary, c/o Biohaven Pharmaceuticals, Inc., 215 Church Street, New Haven, Connecticut 06510 or by calling us at (203) 404-0410.</w:t>
      </w:r>
    </w:p>
    <w:p>
      <w:pPr>
        <w:spacing w:after="0" w:line="95" w:lineRule="exact"/>
        <w:rPr>
          <w:rFonts w:ascii="Arial" w:cs="Arial" w:eastAsia="Arial" w:hAnsi="Arial"/>
          <w:sz w:val="18"/>
          <w:szCs w:val="18"/>
          <w:color w:val="auto"/>
        </w:rPr>
      </w:pPr>
    </w:p>
    <w:p>
      <w:pPr>
        <w:spacing w:after="0" w:line="263" w:lineRule="auto"/>
        <w:rPr>
          <w:sz w:val="20"/>
          <w:szCs w:val="20"/>
          <w:color w:val="auto"/>
        </w:rPr>
      </w:pPr>
      <w:r>
        <w:rPr>
          <w:rFonts w:ascii="Arial" w:cs="Arial" w:eastAsia="Arial" w:hAnsi="Arial"/>
          <w:sz w:val="18"/>
          <w:szCs w:val="18"/>
          <w:color w:val="auto"/>
        </w:rPr>
        <w:t>You also may access these filings on our website at www.biohaven.com.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w:t>
      </w:r>
    </w:p>
    <w:p>
      <w:pPr>
        <w:spacing w:after="0" w:line="130" w:lineRule="exact"/>
        <w:rPr>
          <w:rFonts w:ascii="Arial" w:cs="Arial" w:eastAsia="Arial" w:hAnsi="Arial"/>
          <w:sz w:val="18"/>
          <w:szCs w:val="18"/>
          <w:color w:val="auto"/>
        </w:rPr>
      </w:pPr>
    </w:p>
    <w:p>
      <w:pPr>
        <w:ind w:right="60"/>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40" w:right="379" w:bottom="1440" w:gutter="0" w:footer="0" w:header="0"/>
        </w:sectPr>
      </w:pPr>
    </w:p>
    <w:bookmarkStart w:id="8" w:name="page9"/>
    <w:bookmarkEnd w:id="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 investment in our securities offered by this prospectus involves risks. You should carefully consider the risk factors incorporated by reference to our Annual Report on Form 10-K for the year ended December 31, 2022 and our Quarterly Report on Form 10-Q for the quarter ended June 30, 2023 and the other information contained in this prospectus, as updated by our subsequent filings under the Exchange Act, before purchasing any of our securities. See “Where You Can Find Additional Information” for information about how to obtain a copy of these documents. You should also carefully consider the risks and other information that may be contained in, or incorporated by reference into, any prospectus supplement relating to a specific offering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9" w:name="page10"/>
    <w:bookmarkEnd w:id="9"/>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a global clinical-stage biopharmaceutical company focused on the discovery, development and commercialization of life-changing therapies to treat a broad range of rare and common diseases. Our experienced management team brings with it a proven track record of delivering new drug approvals for products for diseases such as migraine, depression, bipolar disorder and schizophrenia. We are advancing a pipeline of therapies for diseases, many of which have limited or no treatment options, leveraging our proven drug development capabilities and proprietary platforms including Kv7 ion channel modulation for epilepsy and neuronal hyperexcitability, glutamate modulation for Obsessive-Compulsive Disorder and Spinocerebellar Ataxia, myostatin inhibition for neuromuscular diseases and metabolic disorders, and brain-penetrant Tyrosine Kinase 2/Janus Kinase 1 inhibition for neuroinflammatory disorders. Our portfolio of early- and late-stage product candidates also includes discovery research programs focused on TRPM3 channel activation for neuropathic pain, CD-38 antibody recruiting, bispecific molecules for multiple myeloma, antibody drug conjugates, and targeted extracellular protein degradation platform technology with potential application in neurological disorders, cancer, and autoimmune diseases.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advancing our broad and diverse pipeline across early and late stage development, including three Phase 3 clinical programs. We have built a highly experienced team of senior leaders and neuroscience drug developers who combine a nimble, results-driven biotech mindset with capabilities in drug discovery and development. In addition, we have several preclinical assets in our early discovery program, targeting indications in neuroscience and immunology.</w:t>
      </w:r>
    </w:p>
    <w:p>
      <w:pPr>
        <w:spacing w:after="0" w:line="133"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We are a business company limited by shares incorporated under the laws of the British Virgin Islands Our registered office is located at Kingston Chambers, P.O. Box 173, Road Town, Tortola, British Virgin Islands and our telephone number is +1 (284) 852-3000. Our U.S. subsidiary’s office is located at 215 Church Street, New Haven, Connecticut 06510 and telephone number is (203) 404-0410. Our website address is www.biohaven.com.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to use the net proceeds from the sale of our securities offered by us for general corporate purposes unless otherwise specified in the applicable prospectus supplement.</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will not receive any of the proceeds from the sale of common shares by any selling shareholder. We will pay all of the fees and expenses incurred in connection with the registration of the common shares. We will not bear any underwriting discounts and selling commissions or similar selling expenses incurred in connection with the offering of the common shares by any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1440" w:right="579" w:bottom="1440" w:gutter="0" w:footer="0" w:header="0"/>
        </w:sectPr>
      </w:pPr>
    </w:p>
    <w:bookmarkStart w:id="11" w:name="page12"/>
    <w:bookmarkEnd w:id="1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Memorandum and Articles of Association. Reference is made to the more detailed provisions of, and the descriptions are qualified in their entirety by reference to, the Amended Memorandum and Articles of Association. Please note that this summary is not intended to be exhaustive. For further information, please refer to the full version of our Amended Memorandum and Articles of Association which is included as an exhibit to the registration statement of which this prospectus is part.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are a British Virgin Islands (“BVI”) business company limited by shares incorporated in the BVI on May 2, 2022, and our affairs are governed by the provisions of our Amended Memorandum and Articles of Association and by the BVI Business Companies Act (As Revised) (the “BVI Act”).</w:t>
      </w:r>
    </w:p>
    <w:p>
      <w:pPr>
        <w:spacing w:after="0" w:line="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provided in our Amended Memorandum and Articles of Association, subject to the BVI Act, we have full capacity to carry on or undertake any business or activity, do any act or enter into any transaction, and, for such purposes, full rights, powers and privileges. Our registered office is c/o Maples Corporate Services (BVI) Limited, Kingston Chambers, P.O. Box 173, Road Town, Tortola, British Virgin Islands.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Amended Memorandum and Articles of Association authorize us to issue up to 200,000,000 common shares, no par value, and up to 10,000,000 preferred shares, no par value (the “Preferred Shares”). Our Board may establish the rights and preferences of the Preferred Shares from time to time. As of September 26, 2023, we had 68,322,178 common shares issued and outstanding, held of record by 43 shareholders, and no Preferred Shares issued.</w:t>
      </w:r>
    </w:p>
    <w:p>
      <w:pPr>
        <w:spacing w:after="0" w:line="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are summaries of material provisions of our Amended Memorandum and Articles of Association and the BVI Act insofar as they relate to the material terms of our common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maximum number of shares we are authorized to issue are 210,000,000 divided into 200,000,000 common shares, with no par value each and</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Preferred Shares. Holders of common shares have the same rights. All of our outstanding common shares are fully paid and non-assessable.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Amended Memorandum and Articles of Association do not provide for pre-emptive rights.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common shares are entitled to an equal share of such dividends, as may be declared by our Board subject to the BVI Act.</w:t>
      </w:r>
      <w:r>
        <w:rPr>
          <w:rFonts w:ascii="Arial" w:cs="Arial" w:eastAsia="Arial" w:hAnsi="Arial"/>
          <w:sz w:val="18"/>
          <w:szCs w:val="18"/>
          <w:i w:val="1"/>
          <w:iCs w:val="1"/>
          <w:color w:val="auto"/>
        </w:rPr>
        <w:t xml:space="preserve"> </w:t>
      </w:r>
      <w:r>
        <w:rPr>
          <w:rFonts w:ascii="Arial" w:cs="Arial" w:eastAsia="Arial" w:hAnsi="Arial"/>
          <w:sz w:val="18"/>
          <w:szCs w:val="18"/>
          <w:color w:val="auto"/>
        </w:rPr>
        <w:t>Our Amended Memorandum and Articles of Association provide that dividends may be declared and paid at such time, and in such an amount, as the directors determine. Under the BVI Act, the directors must be satisfied that the Company will meet the statutory solvency test immediately after the dividend.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In respect of all matters subject to a shareholders’ vote, each common share is entitled to one vote for each common share registered in his or</w:t>
      </w:r>
      <w:r>
        <w:rPr>
          <w:rFonts w:ascii="Arial" w:cs="Arial" w:eastAsia="Arial" w:hAnsi="Arial"/>
          <w:sz w:val="18"/>
          <w:szCs w:val="18"/>
          <w:i w:val="1"/>
          <w:iCs w:val="1"/>
          <w:color w:val="auto"/>
        </w:rPr>
        <w:t xml:space="preserve"> </w:t>
      </w:r>
      <w:r>
        <w:rPr>
          <w:rFonts w:ascii="Arial" w:cs="Arial" w:eastAsia="Arial" w:hAnsi="Arial"/>
          <w:sz w:val="18"/>
          <w:szCs w:val="18"/>
          <w:color w:val="auto"/>
        </w:rPr>
        <w:t>her name on our register of shareholders. Holders of common shares shall at all times vote together on all resolutions submitted to a vote of the shareholders. Voting at any meeting of shareholders is by show of hands unless a poll is demanded. A poll may be demanded by the chairperson of such meeting or any one shareholder.</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quorum required for a meeting of shareholders consists of at least 50% of the votes of the shares or class or series of shares entitled to vote present in person or by proxy at the meeting or, if a corporation or other non-natural person, by its duly authorized representative. Shareholders’ meetings must be held annually. Each general meeting, other than an annual general meeting, shall be an extraordinary general meeting. Directors may call general meetings, and they shall on a shareholders’ requisition forthwith proceed to convene an extraordinary general meeting of the Company. Extraordinary general meetings of the shareholders of the Company may be called,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purpose as is a proper matter for shareholder action under applicable BVI law, by (i) the Chairperson of the Board, (ii) the Chief Executive Officer, (iii) the directors pursuant to a resolution of directors or (iv) by shareholders holding not less than 10% of the votes of the outstanding voting shares entitled to vote at the meeting. The directors shall determine the time and place, if any, of such general meeting. Advance notice of not less than 10 and not more than 60 days is required for the convening of our annual general meeting and other general meetings unless such notice is waived in accordance with our Amended Memorandum and Articles of Association.</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Appointment and Removal of Directors</w:t>
      </w:r>
      <w:r>
        <w:rPr>
          <w:rFonts w:ascii="Arial" w:cs="Arial" w:eastAsia="Arial" w:hAnsi="Arial"/>
          <w:sz w:val="18"/>
          <w:szCs w:val="18"/>
          <w:color w:val="auto"/>
        </w:rPr>
        <w:t>. In accordance with our Amended Memorandum and Articles of Association, any director may be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of shareholders and may be removed, with cause, by the affirmative vote of at least sixty-six and two-thirds percent (66 2/3%) of the votes of the common shares entitled to vote.</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Transfer of Common Shares</w:t>
      </w:r>
      <w:r>
        <w:rPr>
          <w:rFonts w:ascii="Arial" w:cs="Arial" w:eastAsia="Arial" w:hAnsi="Arial"/>
          <w:sz w:val="18"/>
          <w:szCs w:val="18"/>
          <w:color w:val="auto"/>
        </w:rPr>
        <w:t>. Under the BVI Act shares that are listed on a recognized exchange may be transferred without the need for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if the transfer is carried out in accordance with the laws, rules, procedures and other requirements applicable to shares listed on the recognized exchange and subject to the Company’s Amended Memorandum and Articles of Association.</w:t>
      </w:r>
    </w:p>
    <w:p>
      <w:pPr>
        <w:spacing w:after="0" w:line="13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our Amended Memorandum and Articles of Association, our Board may refuse or delay the registration of a transfer of shares where it reasonably determines that it is in the best interest of the Company to do so. Without limiting the generality of the foregoing, our Board may refuse or delay the registration of a transfer of shares if the transferor has failed to pay an amount due in respect of those shares. Where our Board passes a resolution to refuse or delay the registration of a transfer, the Company shall, as soon as practicable, send the transferor and the transferee a notice of the refusal or delay.</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On a liquidation or winding up of the Company assets available for distribution among the holders of common shares shall be distributed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holders of the common shares on a pro rata basis.</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Calls on Common Shares and Forfeiture of Common Shares</w:t>
      </w:r>
      <w:r>
        <w:rPr>
          <w:rFonts w:ascii="Arial" w:cs="Arial" w:eastAsia="Arial" w:hAnsi="Arial"/>
          <w:sz w:val="18"/>
          <w:szCs w:val="18"/>
          <w:color w:val="auto"/>
        </w:rPr>
        <w:t>. Our Board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common shares in a notice served to such shareholders at least 14 clear days prior to the specified time of payment. The common shares that have been called upon and remain unpaid are subject to forfeiture.</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Redemption of Common Shares</w:t>
      </w:r>
      <w:r>
        <w:rPr>
          <w:rFonts w:ascii="Arial" w:cs="Arial" w:eastAsia="Arial" w:hAnsi="Arial"/>
          <w:sz w:val="18"/>
          <w:szCs w:val="18"/>
          <w:color w:val="auto"/>
        </w:rPr>
        <w:t>. The BVI Act and our Amended Memorandum and Articles of Association permit us to purchase our own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consent of the relevant shareholders, on such terms and in such manner as may be determined by our Board and by a resolution of directors and in accordance with the BVI Act.</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Variation of Rights of Shares</w:t>
      </w:r>
      <w:r>
        <w:rPr>
          <w:rFonts w:ascii="Arial" w:cs="Arial" w:eastAsia="Arial" w:hAnsi="Arial"/>
          <w:sz w:val="17"/>
          <w:szCs w:val="17"/>
          <w:color w:val="auto"/>
        </w:rPr>
        <w:t>. Other than with respect to the issuance of the Preferred Shares in accordance with our Amended Memorandum and Articles</w:t>
      </w:r>
      <w:r>
        <w:rPr>
          <w:rFonts w:ascii="Arial" w:cs="Arial" w:eastAsia="Arial" w:hAnsi="Arial"/>
          <w:sz w:val="17"/>
          <w:szCs w:val="17"/>
          <w:i w:val="1"/>
          <w:iCs w:val="1"/>
          <w:color w:val="auto"/>
        </w:rPr>
        <w:t xml:space="preserve"> </w:t>
      </w:r>
      <w:r>
        <w:rPr>
          <w:rFonts w:ascii="Arial" w:cs="Arial" w:eastAsia="Arial" w:hAnsi="Arial"/>
          <w:sz w:val="17"/>
          <w:szCs w:val="17"/>
          <w:color w:val="auto"/>
        </w:rPr>
        <w:t>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issuance of further shares ranking pari passu with or superior to such existing class of shares.</w:t>
      </w:r>
    </w:p>
    <w:p>
      <w:pPr>
        <w:spacing w:after="0" w:line="124"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Issuance of Additional Shares</w:t>
      </w:r>
      <w:r>
        <w:rPr>
          <w:rFonts w:ascii="Arial" w:cs="Arial" w:eastAsia="Arial" w:hAnsi="Arial"/>
          <w:sz w:val="16"/>
          <w:szCs w:val="16"/>
          <w:color w:val="auto"/>
        </w:rPr>
        <w:t>. Our Amended Memorandum of Association authorizes our Board to issue additional common shares from time to time as</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shall determine. However, under British Virgin Islands law, our directors may only exercise the rights and powers granted to them under our Amended Memorandum and Articles of Association for a proper purpose and for what they believe in good faith to be in the best interests of our Company.</w:t>
      </w:r>
    </w:p>
    <w:p>
      <w:pPr>
        <w:spacing w:after="0" w:line="9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Inspection of Books and Records</w:t>
      </w:r>
      <w:r>
        <w:rPr>
          <w:rFonts w:ascii="Arial" w:cs="Arial" w:eastAsia="Arial" w:hAnsi="Arial"/>
          <w:sz w:val="16"/>
          <w:szCs w:val="16"/>
          <w:color w:val="auto"/>
        </w:rPr>
        <w:t>. A shareholder of the Company is entitled, on giving written notice to the Company, to inspect (a) the memorandum and</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of association of the Company; (b) the register of shareholders; (c) the register of directors; and (d) the minutes of meetings and resolutions of shareholders and of those classes of shareholders of which he is a shareholder; and to make copies of or take extracts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documents and records. Subject to the Amended Memorandum and Articles of Association, the directors may, if they are satisfied that it would be contrary to the Company’s interests to allow a shareholder to inspect any document, or part of a document, specified in (b), (c) and (d) above, refuse to permit the shareholder to inspect the document or limit the inspection of the document, including limiting the making of copies or the taking of extracts from the records.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Where a company fails or refuses to permit a shareholder to inspect a document or permits a shareholder to inspect a document subject to limitations, that shareholder may apply to the BVI High Court for an order that he should be permitted to inspect the document or to inspect the document without limitation.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company is required to keep at the office of its registered agent: its memorandum and articles of association of the company; the register of shareholders or a copy of the register of shareholders; the register of directors or a copy of the register of directors; and copies of all notices and other documents filed by the company in the previous ten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Amended Memorandum and Articles of Association provide that preferred shares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is able to, without shareholder approval, issue preferred shares with voting and other rights that could adversely affect the voting power and other rights of the holders of the common shares and could have anti-takeover effects. The ability of our Board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Right to Own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our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Shareholder Ownership</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provisions in the Amended Memorandum and Articles of Association governing the ownership threshold above which shareholder ownership must be disclosed.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Some provisions of our Amended Memorandum and Articles of Association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classified Board such that not all shareholders of the Board are elected at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manner in which shareholders can remove directors from the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 advance notice requirements for shareholder proposals that can be acted on at shareholder meetings and nominations to our Board;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 that shareholder actions must be effected at a duly called shareholder meeting and prohibit actions by our shareholders by written consent;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1440" w:right="419" w:bottom="1440" w:gutter="0" w:footer="0" w:header="0"/>
        </w:sectPr>
      </w:pPr>
    </w:p>
    <w:bookmarkStart w:id="14" w:name="page15"/>
    <w:bookmarkEnd w:id="14"/>
    <w:p>
      <w:pPr>
        <w:spacing w:after="0" w:line="144" w:lineRule="exact"/>
        <w:rPr>
          <w:sz w:val="20"/>
          <w:szCs w:val="20"/>
          <w:color w:val="auto"/>
        </w:rPr>
      </w:pPr>
    </w:p>
    <w:p>
      <w:pPr>
        <w:ind w:left="660" w:right="34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 our Board to issue preferred shares in one or more series and to designate the price, rights, preferences, privileges and restrictions of such preference shares without any further vote or action by our shareholders without shareholder approval, which could be used to institute a shareholder rights plan, or so-called “poison pill,” that would work to dilute the stock ownership of a potential hostile acquirer, effectively preventing acquisitions that have not been approved by our Board.</w:t>
      </w:r>
    </w:p>
    <w:p>
      <w:pPr>
        <w:spacing w:after="0" w:line="13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However, under British Virgin Islands law, our directors may only exercise the rights and powers granted to them under our Amended Memorandum and Articles of Association for a proper purpose and for what they believe in good faith to be in the best interests of our Company.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Claim</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our Amended Memorandum and Articles of Association, in the event that (i) any Member or prior Member (“Claiming Party”) initiates or asserts any claim or counterclaim (“Claim”) or joins, offers substantial assistance to or has a direct financial interest in any Claim against the Company or its subsidiaries, directors or Members (including any Claim purportedly filed on behalf of the Company or any Member), and (ii) the Claiming Party (or the third party that received substantial assistance from the Claiming Party or in whose Claim the Claiming Party had a direct financial interest) does not obtain a judgment on the merits that substantially achieves, in substance and amount, the full remedy sought, then each Claiming Party shall be obligated, jointly and severally, to reimburse the Company and any such Member or Members for all fees, costs and expenses of every kind and description (including, but not limited to, all reasonable attorneys’ fees and other litigation expenses) that the parties may incur in connection with such Claim.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BVI Act, and the other laws of the British Virgin Islands, or the BVI, affecting BVI business companies like us and our shareholders differ from laws applicable to U.S. Delaware corporations and their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BVI Corporate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BVI Act two or more BVI companies or a BVI company and non-BVI company, each a “constituent company”, may merge or consolidate. The BVI Act provides for slightly different procedures depending on the nature of the parties to the merger.</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merger involves the merging of two or more companies into one of the constituent companies (to the merger) with one constituent company continuing in existence to become the surviving company post-merger. A consolidation involves two or more companies consolidating into a new company.</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merger is effective on the date that the articles of merger (as described below) are registered by the Registrar of Corporate Affairs in the BVI, or on such later date, not exceeding 30 days from the date of registration as is stated in the articles of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soon as a merger becomes effective:</w:t>
      </w:r>
    </w:p>
    <w:p>
      <w:pPr>
        <w:spacing w:after="0" w:line="171" w:lineRule="exact"/>
        <w:rPr>
          <w:sz w:val="20"/>
          <w:szCs w:val="20"/>
          <w:color w:val="auto"/>
        </w:rPr>
      </w:pPr>
    </w:p>
    <w:p>
      <w:pPr>
        <w:ind w:left="660" w:right="200" w:hanging="328"/>
        <w:spacing w:after="0" w:line="277"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surviving company (so far as is consistent with its memorandum and articles, as amended by the articles of merger) has all rights, privileges, immunities, powers, objects and purposes of each of the constituent companies;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memorandum and articles of the surviving company are automatically amended to the extent, if any, that changes to its memorandum and articles are contained in the articles of merger;</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assets of every description, including choses in action and the business of each of the constituent companies, immediately vest in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surviving company is liable for all claims, debts, liabilities and obligations of each of the constituent companies;</w:t>
      </w:r>
    </w:p>
    <w:p>
      <w:pPr>
        <w:spacing w:after="0" w:line="171" w:lineRule="exact"/>
        <w:rPr>
          <w:rFonts w:ascii="Arial" w:cs="Arial" w:eastAsia="Arial" w:hAnsi="Arial"/>
          <w:sz w:val="18"/>
          <w:szCs w:val="18"/>
          <w:color w:val="auto"/>
        </w:rPr>
      </w:pPr>
    </w:p>
    <w:p>
      <w:pPr>
        <w:ind w:left="660" w:right="540" w:hanging="328"/>
        <w:spacing w:after="0" w:line="308" w:lineRule="auto"/>
        <w:tabs>
          <w:tab w:leader="none" w:pos="65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conviction, judgment, ruling, order, claim, debt, liability or obligation due or to become due, and no cause existing, against a constituent company or against any shareholder, director, officer or agent thereof, is released or impaired by the merger; and</w:t>
      </w:r>
    </w:p>
    <w:p>
      <w:pPr>
        <w:spacing w:after="0" w:line="92" w:lineRule="exact"/>
        <w:rPr>
          <w:rFonts w:ascii="Arial" w:cs="Arial" w:eastAsia="Arial" w:hAnsi="Arial"/>
          <w:sz w:val="17"/>
          <w:szCs w:val="17"/>
          <w:color w:val="auto"/>
        </w:rPr>
      </w:pPr>
    </w:p>
    <w:p>
      <w:pPr>
        <w:ind w:left="660" w:hanging="328"/>
        <w:spacing w:after="0" w:line="277"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proceedings, whether civil or criminal, pending at the time of a merger by or against a constituent company, or against any shareholder, director or officer, or agent thereof, are abated or discontinued by the merger; but</w:t>
      </w:r>
    </w:p>
    <w:p>
      <w:pPr>
        <w:spacing w:after="0" w:line="116" w:lineRule="exact"/>
        <w:rPr>
          <w:rFonts w:ascii="Arial" w:cs="Arial" w:eastAsia="Arial" w:hAnsi="Arial"/>
          <w:sz w:val="18"/>
          <w:szCs w:val="18"/>
          <w:color w:val="auto"/>
        </w:rPr>
      </w:pPr>
    </w:p>
    <w:p>
      <w:pPr>
        <w:ind w:left="980" w:right="620" w:hanging="324"/>
        <w:spacing w:after="0" w:line="277" w:lineRule="auto"/>
        <w:tabs>
          <w:tab w:leader="none" w:pos="96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proceedings may be enforced, prosecuted, settled or compromised by or against the surviving company or against the shareholder, director, officer or agent thereof, as the case may be;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surviving company may be substituted in the proceedings for a constituent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registrar shall strike off the Register of Companies a constituent company that is not the surviving company in the merger.</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BVI Act provides that any shareholder of the Company is entitled to payment of the fair value of his shares upon dissenting from a merger, unless the Company is the surviving company of the merger and the shareholder continues to hold the same or similar shares. The following is a summary of the position in respect of dissenters’ rights in the event of a merger under the BVI Act.</w:t>
      </w:r>
    </w:p>
    <w:p>
      <w:pPr>
        <w:spacing w:after="0" w:line="13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 dissenter is in most circumstances required to give to the Company written objection to the merger, which must include a statement that the dissenter proposes to demand payment for his shares if the merger takes place. This written objection must be given before the meeting of shareholders at which the merger is submitted to a vote, or at the meeting but before the vote. However, no objection is required from a shareholder to whom the Company did not give notice of the meeting of shareholders or where the proposed merger is authorized by written consent of the shareholders without a meeting.</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Within 20 days immediately following the written consent, or the meeting at which the merger was approved, the Company shall give written notice of the consent or resolution to each shareholder who gave written objection or from whom written objection was not required, except those shareholders who voted for, or consented in writing to, the proposed merger.</w:t>
      </w:r>
    </w:p>
    <w:p>
      <w:pPr>
        <w:spacing w:after="0" w:line="13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shareholder to whom the Company was required to give notice who elects to dissent shall, within 20 days immediately following the date on which the copy of the plan of merger or an outline of the merger is given to him, give to the Company a written notice of his decision to elect to dissent, stating:</w:t>
      </w:r>
    </w:p>
    <w:p>
      <w:pPr>
        <w:spacing w:after="0" w:line="70"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 name and address;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classes of shares in respect of which he dissents (which must be all shares that he holds in the Company);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demand for payment of the fair value of his shares.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giving of a notice of election to dissent, the dissenter ceases to have any of the rights of a shareholder except the right to be paid the fair value of his shares, and the right to institute proceedings to obtain relief on the ground that the action is illegal.</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shall make a written offer to each dissenter to purchase his shares at a specified price that the Company determines to be their fair value. Such offer must be given within 7 days immediately following the date of the expiration of the period within which shareholders may give their notices of election to dissent, or within 7 days immediately following the date on which the merger is put into effect,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Company and the dissenter fail, within 30 days immediately following the date on which the offer is made, to agree on the price to be paid for the shares owned by the dissenter, then within 20 days:</w:t>
      </w:r>
    </w:p>
    <w:p>
      <w:pPr>
        <w:spacing w:after="0" w:line="11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dissenter shall each designate an appraiser;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two designated appraisers together shall designate an appraiser;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three appraisers shall fix the fair value of the shares owned by the dissenter as of the close of business on the day prior to the date of the meeting or the date on which the resolution was passed, excluding any appreciation or depreciation directly or indirectly induced by the action or its proposal, and that value is binding on the Company and the dissenter for all purposes;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shall pay to the dissenter the amount in money upon the surrender by him of the certificates representing his shares, and such shares shall be cancelled.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provisions of the BVI Act, the memorandum and articles of association of a company are binding as between the company and its shareholders and between the shareholders.</w:t>
      </w:r>
    </w:p>
    <w:p>
      <w:pPr>
        <w:spacing w:after="0" w:line="11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If the majority shareholders have infringed a minority shareholder’s rights, the minority may seek to enforce its rights either by derivative action or by personal action. A derivative action concerns the infringement of the company’s rights where the wrongdoers are in control of the company and are preventing it from taking action, whereas a personal action concerns the infringement of a right that is personal to the particular shareholder concerned.</w:t>
      </w:r>
    </w:p>
    <w:p>
      <w:pPr>
        <w:spacing w:after="0" w:line="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BVI Act provides for a series of remedies available to shareholders. Where a company incorporated under the BVI Act conducts some activity which breaches the BVI Act or the company’s memorandum and articles of association, the BVI High Court can issue a restraining or compliance order. Shareholders can now also bring derivative, personal and representative actions under certain circumstances.</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Generally any other claims against a company by its shareholders must be based on the general laws of contract or tort applicable in the BVI or their individual rights as shareholders as established by the company’s memorandum and articles of association.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certain circumstances, a shareholder has the right to seek various remedies against the company in the event the directors are in breach of their duties under the BVI Act. Pursuant to Section 184B of the BVI Act, if a company or director of a company engages in, proposes to engage in or has engaged in, conduct that contravenes the provisions of the BVI Act or the memorandum or articles of association of the company, the courts of the British Virgin Islands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courts of the British Virgin Islands for an order which, inter alia, can require the company or any other person to pay compensation to the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BVI Corporate Law and Delaware U.S. Corporate Law</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Set forth below is a summary of the significant differences between the provisions of the laws of the BVI applicable to us and the laws applicable to companies incorporated in Delaware in the United States and their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Delaware General Corporation Law, a shareholder has the right to put any proposal before the annual meeting of shareholders, provided it complies with the notice provisions in the governing documents. A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1440" w:right="419" w:bottom="1440" w:gutter="0" w:footer="0" w:header="0"/>
        </w:sectPr>
      </w:pPr>
    </w:p>
    <w:bookmarkStart w:id="17" w:name="page18"/>
    <w:bookmarkEnd w:id="17"/>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meeting may be called by the Board or any other person authorized to do so in the governing documents, but shareholders may be precluded from calling special meetings. Our Amended Memorandum and Articles of Association allow our shareholders holding not less than 10% of the votes of the outstanding voting shares to requisition a shareholders’ meeting. We are not obliged by law to call shareholders’ annual general meetings, but our Amended Memorandum and Articles of Association permit the directors to call shareholders’ annual general meetings, and we expect to do so in the future. The location of any shareholders’ meeting can be determined by the Board and can be held anywhere in the world.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There are no prohibitions in relation to cumulative voting under the laws of the British Virgin Islands but our Amended Memorandum and Articles of Association do not provide for cumulative voting. As a result, our shareholders are not afforded any less protections or rights on this issue than shareholders of a Delaware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Although British Virgin Islands law provides that companies may permit shareholder actions by written consent, our Amended Memorandum and Articles of Association provide that shareholders may not approve corporate matters by way of a written resolution.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Memorandum and Articles of Association</w:t>
      </w:r>
    </w:p>
    <w:p>
      <w:pPr>
        <w:spacing w:after="0" w:line="17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Amended Memorandum and Articles of Association may be amended with a resolution of our shareholders or, with certain exception by resolutions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Memorandum and Articles of Association, directors can be removed from office, with cause, by a resolution of shareholders passed at a meeting called for the purpose of removing the director or for purposes including the removal of the director by the affirmative vote of at least sixty-six and two-thirds percent (66 2/3%) of the votes of the common shares entitled to vote.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71"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w:t>
      </w:r>
      <w:r>
        <w:rPr>
          <w:rFonts w:ascii="MS PGothic" w:cs="MS PGothic" w:eastAsia="MS PGothic" w:hAnsi="MS PGothic"/>
          <w:sz w:val="16"/>
          <w:szCs w:val="16"/>
          <w:color w:val="auto"/>
        </w:rPr>
        <w:t>‑</w:t>
      </w:r>
      <w:r>
        <w:rPr>
          <w:rFonts w:ascii="Arial" w:cs="Arial" w:eastAsia="Arial" w:hAnsi="Arial"/>
          <w:sz w:val="16"/>
          <w:szCs w:val="16"/>
          <w:color w:val="auto"/>
        </w:rPr>
        <w:t>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w:t>
      </w:r>
    </w:p>
    <w:p>
      <w:pPr>
        <w:spacing w:after="0" w:line="1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British Virgin Islands law has no comparable statute. As a result, we are not afforded the same statutory protections in the British Virgin Islands as we would be offered by the Delaware business combination statute. However, although British Virgin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See also “Shareholders’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above. We have adopted a code of business conduct and ethics which requires employees to fully disclose any situations that could reasonably be expected to give rise to a conflict of interest, and sets forth relevant restrictions and procedures when a conflict of interest arises to ensure the best interest of the Company. Our Amended Memorandum and Articles of Association also import the provisions of the Delaware General Corporation Law which prohibits the Company from engaging in certain business combinations with an “interested shareholder” for three years following the date that such person becomes an interested shareholder unless (i) prior to the date on which such shareholder becomes an interested shareholder, the board of directors approves either the business combination or the transaction which resulted in the person becoming an interested shareholder, (ii) upon consummation of the transaction which resulted in the shareholder becoming an interested shareholder, the interested shareholder owned at least 85% of the votes of shares in the Company outstanding at the time the transaction commenced or (iii) at or subsequent to such time the business combination is approved by the Board and authorized at an annual or extraordinary general meeting of shareholders, and not by written consent, by the affirmative vote of at least 66 2/3% of the votes of shares not owned by the interested shareholder.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3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Under British Virgin Islands law, the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memorandum and articles of association or the BVI Act.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BVI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believed to be in the best interests of the company and, in the case of criminal proceedings, the person had no reasonable cause to believe that his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than with respect to the issuance of the Preferred Shares in accordance with our Amended Memorandum and Articles 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superior to such existing class of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Winding-Up</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BVI law, the liquidation of a company may be a voluntary solvent liquidation or an insolvent liquidation under the BVI Insolvency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Liquidation</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the liquidation is a solvent liquidation, the provisions of the BVI Act governs the liquidation. A company may only be liquidated under the BVI Act as a solvent liquidation if it has no liabilities or it is able to pay its debts as they fall due and the value of its assets exceeds its liabilities. Subject to the Amended Memorandum and Articles of Association, a liquidator may be appointed by a resolution of directors or resolution of shareholders but if the directors have commenced liquidation by a resolution of directors the shareholders must approve the liquidation plan by a resolution of shareholders save in limited circumstances.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liquidator is appointed for the purpose of collecting in and realizing the assets of a company and distributing proceeds to creditors.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expect that in the event of a voluntary liquidation of the Company, after payment of the liquidation costs and any sums then due to creditors, the liquidator would distribute our remaining assets on a pari passu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are no limitations imposed by our Amended Memorandum and Articles of Association on the rights of non-resident or foreign shareholders to hold or exercise voting rights on our shares. In addition, there are no provisions in our Amended Memorandum and Articles of Association governing the ownership threshold above which shareholder ownership must be disclosed.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any person resident in the British Virgin Islands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of the British Virgin Islands, pursuant to the Proceeds of Criminal Conduct Act (as revised). Such a report shall not be treated as a breach of confidence or of any restriction upon the disclosure of information imposed by any enactment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New York Stock Exchange under the trading symbol “BHVN.”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and registrar for our common shares is Equiniti Trust Company, LLC. The transfer agent’s address is 6201 15th Avenue, Brooklyn, NY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1440" w:right="479" w:bottom="1440" w:gutter="0" w:footer="0" w:header="0"/>
        </w:sectPr>
      </w:pPr>
    </w:p>
    <w:bookmarkStart w:id="21" w:name="page22"/>
    <w:bookmarkEnd w:id="2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the material terms and provisions of the depositary shares and depositary receipts that we may offer under this prospectus. While the terms we have summarized below will generally apply to any future depositary shares or depositary receipts we may offer under this prospectus, we will describe the particular terms of any depositary shares or depositary receipts that we may offer in more detail in the applicable prospectus supplement.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deposit agreement that describes the terms of the depositary shares and depositary receipts we may offer before the issuance thereof. The following summary is subject to, and qualified in its entirety by reference to, all provisions of the deposit agreement applicable to a particular offering of depositary shares or depositary receipts. We urge you to read any applicable prospectus supplement related to the depositary shares or depositary receipts that we sell under this prospectus, as well as the complete deposit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offer depositary shares evidenced by depositary receipts. Each depositary share represents a fraction or a multiple of a share of the particular series of preferred shares issued and deposited with a depositary to be designated by us. The fraction or the multiple of a share of preferred shares which each depositary share represents will be set forth in the applicable prospectus supplement.</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will deposit the preferred shares of any series of preferred shares represented by depositary shares according to the provisions of a deposit agreement to be entered into between us and a bank or trust company which we will select as our preferred shares depositary. We will name the depositary in the applicable prospectus supplement. Each holder of a depositary share will be entitled to all the rights and preferences of the underlying preferred shares in proportion to the applicable fraction or multiple of a share of preferred shares represented by the depositary share. These rights may include dividend, voting, redemption, conversion and liquidation rights. The depositary will send the holders of depositary shares all reports and communications that we deliver to the depositary and which we are required to furnish to the holders of depositary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Receipts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anyone who is buying the fractional preferred shares in accordance with the terms of the applicable prospectus supplement.</w:t>
      </w:r>
    </w:p>
    <w:p>
      <w:pPr>
        <w:spacing w:after="0" w:line="1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While definitive engraved depositary receipts (certificates) are being prepared, we may instruct the depositary to issue temporary depositary receipts, which will entitle holders to all the rights of the definitive depositary receipts and be substantially in the same form. The depositary will prepare definitive depositary receipts without unreasonable delay, and we will pay for the exchange of your temporary depositary receipts for definitive depositary receipts.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Shares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Unless the related depositary shares have previously been called for redemption, a holder of depositary shares may receive the number of whole shares of the related series of preferred shares and any money or other property represented by the holder’s depositary receipts after surrendering the depositary receipts at the corporate trust office of the depositary, paying any taxes, charges and fees provided for in the deposit agreement and complying with any other requirement of the deposit agreement. Partial preferred shares will not be issued. If the surrendered depositary shares exceed the number of depositary shares that represent the number of whole preferred shares the holder wishes to withdraw, then the depositary will deliver to the holder at the same time a new depositary receipt evidencing the excess number of depositary shares. Once the holder has withdrawn the preferred shares, the holder will not be entitled to re-deposit such preferred shares under the deposit agreement or to receive depositary shares in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such preferred shares. We do not expect that there will be any public trading market for withdrawn preferred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depositary will distribute to record holders of depositary shares any cash dividends or other cash distributions it receives on preferred shares, after deducting its fees and expenses. Each holder will receive these distributions in proportion to the number of depositary shares owned by the holder. The depositary will distribute only whole U.S. dollars and cents. The depositary will add any fractional cents not distributed to the next sum received for distribution to record holders of depositary shares. In the event of a non-cash distribution, the depositary will distribute property to the record holders of depositary shares, unless the depositary determines that it is not feasible to make such a distribution. If this occurs, the depositary may, with our approval, sell the property and distribute the net proceeds from the sale to the holders. The amounts distributed to holders of depositary shares will be reduced by any amounts required to be withheld by the depositary or by us on account of taxes or other governmental charges.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 series of preferred shares represented by depositary shares is subject to redemption, we will give the necessary proceeds to the depositary. The depositary will then redeem the depositary shares using the funds they received from us for the preferred shares. The redemption price per depositary share will be equal to the redemption price payable per share for the applicable series of the preferred shares and any other amounts per share payable with respect to the preferred shares multiplied by the fraction or multiple of a preferred share represented by one depositary share. Whenever we redeem preferred shares held by the depositary, the depositary will redeem the depositary shares representing the preferred shares on the same day, provided we have paid in full to the depositary the redemption price of the preferred shares to be redeemed and any accrued and unpaid dividends. If fewer than all the depositary shares of a series are to be redeemed, the depositary shares will be selected by lot or ratably or by any other equitable methods as the depositary will decide.</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After the date fixed for redemption, the depositary shares called for redemption will no longer be considered outstanding. Therefore, all rights of holders of the depositary shares will then cease, except that the holders will still be entitled to receive any cash payable upon the redemption and any money or other property to which the holder was entitled at the time of redemption. To receive this amount or other property, the holders must surrender the depositary receipts evidencing their depositary shares to the depositary. Any funds that we deposit with the depositary for any depositary shares that the holders fail to redeem will be returned to us after a period of one year from the date we deposit the funds.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Shares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shares are entitled to vote, the depositary will notify holders of depositary shares of the upcoming vote and arrange to deliver our voting materials to the holders. The record date for determining holders of depositary shares that are entitled to vote will be the same as the record date for the preferred shares. The materials the holders will receive will describe the matters to be voted on and explain how the holders, on a certain date, may instruct the depositary to vote the preferred shares underlying the depositary shares. For instructions to be valid, the depositary must receive them on or before the date specified. To the extent possible, the depositary will vote the shares as instructed by the holder. We agree to take all reasonable actions that the depositary determines are necessary to enable it to vote as a holder has instructed. If the depositary does not receive specific instructions from the holders of any depositary shares, it will vote all shares of that series held by it proportionately with instructions received.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depositary, with our approval or at our instruction, will convert or exchange all depositary shares if the preferred shares underlying the depositary shares are converted or exchanged. In order for the depositary to do so, we will need to deposit the other preferred shares, common shares, or other securities into which the preferred shares are to be converted or for which it will be exchanged.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exchange or conversion rate per depositary share will be equal to:</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exchange or conversion rate per preferred share, multiplied by the fraction or multiple of a preferred share represented by one depositary share;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plus all money and any other property represented by one depositary share;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including all amounts per depositary share paid by us for dividends that have accrued on the preferred shares on the exchange or conversion date and that have not been paid.</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depositary shares, as such, cannot be converted or exchanged into other preferred shares, common shares, securities of another issuer or any other of our securities or property. Nevertheless, if so specified in the applicable prospectus supplement, a holder of depositary shares may be able to surrender the depositary receipts to the depositary with written instructions asking the depositary to instruct us to convert or exchange the preferred shares represented by the depositary shares into other shares of our preferred shares or common shares or to exchange the preferred shares for any other securities registered pursuant to the registration statement of which this prospectus forms a part. If the depositary shares carry this right, we would agree that, upon the payment of any applicable fees, we will cause the conversion or exchange of the preferred shares using the same procedures as we use for the delivery of preferred shares. If a holder is only converting part of the depositary shares represented by a depositary receipt, new depositary receipts will be issued for any depositary shares that are not converted or exchanged.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agree with the depositary to amend the deposit agreement and the form of depositary receipt without consent of the holder at any time. However, if the amendment adds or increases fees or charges, other than any change in the fees of any depositary, registrar or transfer agent, or prejudices an important right of holders, it will only become effective with the approval of holders of at least a majority of the affected depositary shares then outstanding. We will make no amendment that impairs the right of any holder of depositary shares, as described above under “-Withdrawal of Preferred Shares”, to receive preferred shares and any money or other property represented by those depositary shares, except in order to comply with mandatory provisions of applicable law. If an amendment becomes effective, holders are deemed to agree to the amendment and to be bound by the amended deposit agreement if they continue to hold their depositary receipts.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automatically terminates if:</w:t>
      </w:r>
    </w:p>
    <w:p>
      <w:pPr>
        <w:spacing w:after="0" w:line="171" w:lineRule="exact"/>
        <w:rPr>
          <w:sz w:val="20"/>
          <w:szCs w:val="20"/>
          <w:color w:val="auto"/>
        </w:rPr>
      </w:pPr>
    </w:p>
    <w:p>
      <w:pPr>
        <w:ind w:left="660" w:right="6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 converted or exchanged for any other securities into which they or the underlying preferred shares are convertible or exchangeable;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 of preferred shares has been converted into or exchanged for common shares; or</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final distribution in respect of the preferred shares has been made to the holders of depositary receipts in connection with our liquidation, dissolution or winding-up.</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may also terminate the deposit agreement at any time we wish. If we do so, the depositary will give notice of termination to the record holders not less than 30 days before the termination date. Once depositary receipts are surrendered to the depositary, it will send to each holder the number of whole or fractional shares of the series of preferred shares underlying that holder’s depositary receipts.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 and Expenses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pay the fees, charges and expenses of the depositary provided in the deposit agreement to be payable by us. Holders of depositary receipts will pay any taxes and governmental charges and any charges provided in the deposit agreement to be payable by them. If the depositary incurs fees, charges or expenses for which it is not otherwise liable at the election of a holder of a depositary receipt or other person, that holder or other person will be liable for those fees, charges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Our Obligations and Liability to Holders of Depositary Receipts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as follows:</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the depositary are only liable to the holders of depositary receipts for negligence or willful misconduct;</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the depositary have no obligation to become involved in any legal or other proceeding related to the depositary receipts or the deposit agreement on your behalf or on behalf of any other party, unless you provide us with satisfactory indemnity;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the depositary may rely upon any written advice of counsel or accountants and on any documents we believe in good faith to be genuine and to have been signed or presented by the proper party.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depositary may resign at any time by notifying us of its election to do so. In addition, we may remove the depositary at any time. Within 60 days after the delivery of a notice of resignation or removal of the depositary, we will appoint a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1440" w:right="459" w:bottom="1440" w:gutter="0" w:footer="0" w:header="0"/>
        </w:sectPr>
      </w:pPr>
    </w:p>
    <w:bookmarkStart w:id="25" w:name="page26"/>
    <w:bookmarkEnd w:id="2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such series (including any pricing supplement or term sheet), including the following terms, if applicable:</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71"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and any limit on the aggregate principal amount of such series of debt securities;</w:t>
      </w:r>
    </w:p>
    <w:p>
      <w:pPr>
        <w:spacing w:after="0" w:line="116"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including the terms of subordination, if any, of such guarantees;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if any, and the method for calculating the interest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from which interest will accrue, the interest payment dates and the record dates for the interest payments;</w:t>
      </w:r>
    </w:p>
    <w:p>
      <w:pPr>
        <w:spacing w:after="0" w:line="171"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 or places where principal of, and any interest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mandatory or optional redemption terms;</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dates, if any, on which and the price or prices at which we will repurchase debt securities at the option of the holders of debt securities and other detailed terms and provisions of such repurchase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any interest on, the debt securities will be made;</w:t>
      </w:r>
    </w:p>
    <w:p>
      <w:pPr>
        <w:spacing w:after="0" w:line="116"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payments of principal of, any interest on, the debt securities will be made in one or more currencies or currency units other than that or those in which the debt securities are denominated, the manner in which the exchange rate with respect to such payments will be determined;</w:t>
      </w:r>
    </w:p>
    <w:p>
      <w:pPr>
        <w:spacing w:after="0" w:line="69"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any interest on, the debt securities will be determined, if these amounts may be determined by reference to an index based on a currency or currencies or by reference to a commodity, commodity index, stock exchange index or financial index;</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appointed with respect to the debt securities;</w:t>
      </w:r>
    </w:p>
    <w:p>
      <w:pPr>
        <w:spacing w:after="0" w:line="194" w:lineRule="exact"/>
        <w:rPr>
          <w:rFonts w:ascii="Arial" w:cs="Arial" w:eastAsia="Arial" w:hAnsi="Arial"/>
          <w:sz w:val="16"/>
          <w:szCs w:val="16"/>
          <w:color w:val="auto"/>
        </w:rPr>
      </w:pPr>
    </w:p>
    <w:p>
      <w:pPr>
        <w:ind w:left="660" w:right="2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such series of debt securities are redeemed; and</w:t>
      </w:r>
    </w:p>
    <w:p>
      <w:pPr>
        <w:spacing w:after="0" w:line="117" w:lineRule="exact"/>
        <w:rPr>
          <w:rFonts w:ascii="Arial" w:cs="Arial" w:eastAsia="Arial" w:hAnsi="Arial"/>
          <w:sz w:val="17"/>
          <w:szCs w:val="17"/>
          <w:color w:val="auto"/>
        </w:rPr>
      </w:pPr>
    </w:p>
    <w:p>
      <w:pPr>
        <w:ind w:left="660" w:right="8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p>
      <w:pPr>
        <w:spacing w:after="0" w:line="70"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maturity or a declaration of acceleration of their maturity following an event of default pursuant to the terms of the indenture. We will provide you with information on the federal income tax considerations and other special considerations applicable to any of these debt securities in the applicable prospectus supplement.</w:t>
      </w:r>
    </w:p>
    <w:p>
      <w:pPr>
        <w:spacing w:after="0" w:line="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7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spacing w:after="0" w:line="13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Global Debt Securities and Book-Entry System</w:t>
      </w:r>
      <w:r>
        <w:rPr>
          <w:rFonts w:ascii="Arial" w:cs="Arial" w:eastAsia="Arial" w:hAnsi="Arial"/>
          <w:sz w:val="16"/>
          <w:szCs w:val="16"/>
          <w:color w:val="auto"/>
        </w:rPr>
        <w:t>. Each global debt security will be deposited with, or on behalf of, the depositary, and registered in the name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depositary or a nominee of the depositary. Beneficial interests in global debt securities will not be issuable in certificated form unless (i) the depositary has notified us that it is unwilling or unable to continue as depositary for such global debt security or has ceased to be qualified to act as such as required by the indenture and we fail to appoint a successor depositary within 90 days of such event, (ii) we determine, in our sole discretion, not to have such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Biohaven may not consolidate with or merge with or into, or convey, transfer or lease all or substantially all of its assets to any person (a “successor person”) unless:</w:t>
      </w:r>
    </w:p>
    <w:p>
      <w:pPr>
        <w:spacing w:after="0" w:line="116" w:lineRule="exact"/>
        <w:rPr>
          <w:sz w:val="20"/>
          <w:szCs w:val="20"/>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Biohaven is the surviving person or the successor person (if other than Biohaven) expressly assumes Biohaven’s obligations on the debt securities and under the indenture;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above, any of Biohaven’s subsidiaries may consolidate with, merge into or transfer all or part of its properties to Biohaven.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440" w:right="39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with respect to any series of debt securities, any of the following:</w:t>
      </w:r>
    </w:p>
    <w:p>
      <w:pPr>
        <w:spacing w:after="0" w:line="171" w:lineRule="exact"/>
        <w:rPr>
          <w:sz w:val="20"/>
          <w:szCs w:val="20"/>
          <w:color w:val="auto"/>
        </w:rPr>
      </w:pPr>
    </w:p>
    <w:p>
      <w:pPr>
        <w:ind w:left="660" w:right="2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71"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Biohaven;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event of default provided with respect to a series of debt securities that is described in the applicable prospectus supplement.</w:t>
      </w:r>
    </w:p>
    <w:p>
      <w:pPr>
        <w:spacing w:after="0" w:line="18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such duty or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the securities of any series or for the appointment of a receiver or trustee, or for any remedy under the indenture, unless:</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to the trustee to institute the proceedings in respect of such event of default in its own name as trustee under the indenture;</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has failed to institute any such proceeding for 60 days after its receipt of such notice, request and offer of indemnity; and</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in principal amount of the outstanding debt securities of that series.</w:t>
      </w:r>
    </w:p>
    <w:p>
      <w:pPr>
        <w:spacing w:after="0" w:line="11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60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and the trustee may modify and amend or supplement the indenture or the debt securities of one or more series without the consent of any holder of any debt security:</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 series or secure debt securities of a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any series of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4" w:lineRule="exact"/>
        <w:rPr>
          <w:sz w:val="20"/>
          <w:szCs w:val="20"/>
          <w:color w:val="auto"/>
        </w:rPr>
      </w:pPr>
    </w:p>
    <w:p>
      <w:pPr>
        <w:ind w:left="660" w:right="2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conform any supplement to the indenture for a series of securities or the securities of a series to the description of securities for such series in the prospectus supplement or offering document with respect to such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certain other reasons set forth in any prospectus supplement.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 or reduce the amount of, or postpone the date fixed for, the payment of any sinking fund or analogous obligation with respect to any series of debt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or interest, if any, on any debt security (except a rescission of acceleration of the debt securities of any series by the holders of at least a majority in principal amount of the then outstanding debt securities of that series and a waiver of the payment default that resulted from such acceleration);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the principal of, or any interest on, any debt security payable in currency other than that stated in the debt security;</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any change to certain provisions of the indenture relating to, among other things, the right of holders of debt securities to receive payment of the principal of, and any interest on, those debt securities and to institute suit for the enforcement of any such payment;</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waivers or amendments;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provided that such redemption is made at our option.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such series.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44" w:lineRule="exact"/>
        <w:rPr>
          <w:sz w:val="20"/>
          <w:szCs w:val="20"/>
          <w:color w:val="auto"/>
        </w:rPr>
      </w:pPr>
    </w:p>
    <w:p>
      <w:pPr>
        <w:ind w:right="1860"/>
        <w:spacing w:after="0" w:line="438" w:lineRule="auto"/>
        <w:rPr>
          <w:sz w:val="20"/>
          <w:szCs w:val="20"/>
          <w:color w:val="auto"/>
        </w:rPr>
      </w:pPr>
      <w:r>
        <w:rPr>
          <w:rFonts w:ascii="Arial" w:cs="Arial" w:eastAsia="Arial" w:hAnsi="Arial"/>
          <w:sz w:val="18"/>
          <w:szCs w:val="18"/>
          <w:color w:val="auto"/>
        </w:rPr>
        <w:t xml:space="preserve">series may rescind an acceleration and its consequences, including any related payment default that resulted from the acceleration. </w:t>
      </w:r>
      <w:r>
        <w:rPr>
          <w:rFonts w:ascii="Arial" w:cs="Arial" w:eastAsia="Arial" w:hAnsi="Arial"/>
          <w:sz w:val="18"/>
          <w:szCs w:val="18"/>
          <w:b w:val="1"/>
          <w:bCs w:val="1"/>
          <w:color w:val="auto"/>
        </w:rPr>
        <w:t>Defeasance of Debt Securities and Certain Covenants in Certain Circumstances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and interest, if any, on and any mandatory sinking fund payments in respect of the debt securities of that series on the stated maturity of those payments in accordance with the terms of the indenture and those debt securities.</w:t>
      </w:r>
    </w:p>
    <w:p>
      <w:pPr>
        <w:spacing w:after="0" w:line="11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16" w:lineRule="exact"/>
        <w:rPr>
          <w:sz w:val="20"/>
          <w:szCs w:val="20"/>
          <w:color w:val="auto"/>
        </w:rPr>
      </w:pPr>
    </w:p>
    <w:p>
      <w:pPr>
        <w:ind w:left="660" w:right="2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9" w:lineRule="exact"/>
        <w:rPr>
          <w:rFonts w:ascii="Arial" w:cs="Arial" w:eastAsia="Arial" w:hAnsi="Arial"/>
          <w:sz w:val="16"/>
          <w:szCs w:val="16"/>
          <w:color w:val="auto"/>
        </w:rPr>
      </w:pPr>
    </w:p>
    <w:p>
      <w:pPr>
        <w:ind w:left="660" w:right="3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71" w:lineRule="exact"/>
        <w:rPr>
          <w:sz w:val="20"/>
          <w:szCs w:val="20"/>
          <w:color w:val="auto"/>
        </w:rPr>
      </w:pPr>
    </w:p>
    <w:p>
      <w:pPr>
        <w:ind w:left="660" w:right="2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 and</w:t>
      </w:r>
    </w:p>
    <w:p>
      <w:pPr>
        <w:spacing w:after="0" w:line="138"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summarizes the material terms and provisions of the warrants that we may offer under this prospectus, which consist of warrants to purchase common shares, preferred shares, depositary shares, and/or debt securities in one or more series. Warrants may be offered independently or together with common shares, preferred shares, depositary shares, and/or debt securities offered by any prospectus supplement and may be attached to or separate from those securities.</w:t>
      </w:r>
    </w:p>
    <w:p>
      <w:pPr>
        <w:spacing w:after="0" w:line="10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While the terms we have summarized below will generally apply to any future warrants we may offer under this prospectus, we will describe the particular terms of any warrants that we may offer in more detail in the applicable prospectus supplement. The specific terms of any warrants may differ from the description provided below as a result of negotiations with third parties in connection with the issuance of those warrants, as well as for other reasons. Because the terms of any warrants we offer under a prospectus supplement may differ from the terms we describe below, you should rely solely on information in the applicable prospectus supplement if that summary is different from the summary in this prospectus.</w:t>
      </w:r>
    </w:p>
    <w:p>
      <w:pPr>
        <w:spacing w:after="0" w:line="1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will issue the warrants under a warrant agreement, which we will enter into with a warrant agent to be selected by us.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will incorporate by reference into the registration statement of which this prospectus is a part the form of warrant agreement, including a form of warrant certificate, that describes the terms of the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applicable to a particular series of warrants. We urge you to read any applicable prospectus supplement related to the warrants that we sell under this prospectus, as well as the complete warrant agreement that contain the terms of the warrants and defines your rights as a warrant holder.</w:t>
      </w:r>
    </w:p>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will describe in the applicable prospectus supplement the terms relating to a series of warrants. If warrants for the purchase of debt securities are offered, the prospectus supplement will describe the following terms, to the extent applicable:</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currencies in which the warrants are being offered;</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currencies, denominations and terms of the series of debt securities that can be purchased if a holder exercises a warrant;</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any series of debt securities with which the warrants are being offered and the number of warrants offered with each such debt security;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series of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Warrants for the purchase of debt securities will be in registered form only.</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warrants for the purchase of common shares, preferred shares, or depositary shares are offered, the prospectus supplement will describe the following terms, to the extent applicable:</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warrants being offered with each common share;</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common shares or preferred shares or the related depositary shares;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common shares, preferred shares, or depositary shares that can be purchased if a holder exercises the warrant and the price at which those shares may be purchased upon exercise, including, if applicable, any provisions for changes to or adjustments in the exercise price and in the securities or other property receivable upon exercise;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Warrants for the purchase of common shares, preferred shares, or depositary shares will be in registered form only.</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 Until any warrants to purchase depositary shares or common shares or preferred shares are exercised, holders of the warrants will not have any rights of holders of the underlying depositary shares or common shares or preferred shares, including any rights to receive dividends or to exercise any voting rights, except to the extent set forth under “-Warrant Adjustments”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holder of a warrant is entitled to purchase the principal amount of debt securities or number of common shares or preferred shares or depositary shares, as the case may be, at the exercise price described in the applicable prospectus supplement. After the close of business on the day when the right to exercise terminates (or a later date if we extend the time for exercise), unexercised warrants will become void.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to the warrant agent the payment required by the applicable prospectus supplement to purchase the underlying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properly complete and sign the reverse side of the warrant certificate representing the warrants; and</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the warrant certificate representing the warrants to the warrant agent within five business days of the warrant agent receiving payment of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debt securities or shares of common shares or preferred shares or depositary shares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applicable prospectus supplement states otherwise, the exercise price of, and the number of securities covered by, a warrant for depositary shares or shares of common shares or preferred shares will be adjusted proportionately if we subdivide or combine our common shares or preferred shares, as applicable. In addition, unless the prospectus supplement states otherwise, if we, without payment:</w:t>
      </w:r>
    </w:p>
    <w:p>
      <w:pPr>
        <w:spacing w:after="0" w:line="130" w:lineRule="exact"/>
        <w:rPr>
          <w:sz w:val="20"/>
          <w:szCs w:val="20"/>
          <w:color w:val="auto"/>
        </w:rPr>
      </w:pPr>
    </w:p>
    <w:p>
      <w:pPr>
        <w:ind w:left="660" w:right="2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shares of common shares or preferred shares or other securities convertible into or exchangeable for common shares or preferred shares, or any rights to subscribe for, purchase or otherwise acquire any of the foregoing, as a dividend or distribution to all or substantially all holders of our common shares or preferred shares;</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any cash to all or substantially all holders of our common shares or preferred shares, other than a cash dividend paid out of our current or retained earnings;</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any evidence of our indebtedness or rights to subscribe for or purchase our indebtedness to all or substantially all holders of our common shares or preferred shares; or</w:t>
      </w:r>
    </w:p>
    <w:p>
      <w:pPr>
        <w:spacing w:after="0" w:line="116"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issue common shares, preferred shares or additional shares or other securities or property to all or substantially all holders of our common shares or preferred shares by way of spinoff, split-up, reclassification, combination of shares or similar corporate rearrangement;</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then the holders of common share warrants, preferred share warrants, or depositary share warrants will be entitled to receive upon exercise of the warrants, in addition to the securities otherwise receivable upon exercise of the warrants and without paying any additional consideration, the amount of shares and other securities and property such holders would have been entitled to receive had they held the common shares or preferred shares or depositary shares issuable under the warrants on the dates on which holders of those securities received or became entitled to receive such additional shares and other securities and property.</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stated above, the exercise price and number of securities covered by a warrant for common shares, preferred shares, or depositary shares,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share warrants, preferred share warrants or depositary share warrants may have additional rights under the following circumstances:</w:t>
      </w:r>
    </w:p>
    <w:p>
      <w:pPr>
        <w:spacing w:after="0" w:line="1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shares or preferred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share exchanges, mergers, or similar transactions involving us that result in changes of the common shares or preferred shares; or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one of the above transactions occurs and holders of our common shares, preferred shares, or depositary shares are entitled to receive shares, securities or other property with respect to or in exchange for their securities, the holders of the common share warrants, preferred share warrants, or depositary share warrants then outstanding, as applicable, will be entitled to receive upon exercise of their warrants the kind and amount of shares and other securities or property that they would have received upon the applicable transaction if they had exercised their warrants immediately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1440" w:right="439" w:bottom="1440" w:gutter="0" w:footer="0" w:header="0"/>
        </w:sectPr>
      </w:pPr>
    </w:p>
    <w:bookmarkStart w:id="36" w:name="page37"/>
    <w:bookmarkEnd w:id="3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the general features of the rights that we may offer under this prospectus. We may issue rights to our shareholders to purchase our common shares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spacing w:after="0" w:line="12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for determining the persons entitled to participate in the rights distribution;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or amount of underlying securities purchasable upon exercise of the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rights issued to each shareholder and the number of rights outstanding,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anti-dilution provisions of the rights, if 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18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underwriting arrangements,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description summarizes the general features of the purchase contracts that we may offer under this prospectus. While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or an unaffiliated entity’s, securities at a future date or dates. Alternatively, the purchase contracts may obligate us to purchase from holders, and obligate holders to sell to us, a specific or varying number of our securities.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116" w:lineRule="exact"/>
        <w:rPr>
          <w:sz w:val="20"/>
          <w:szCs w:val="20"/>
          <w:color w:val="auto"/>
        </w:rPr>
      </w:pPr>
    </w:p>
    <w:p>
      <w:pPr>
        <w:ind w:left="660" w:right="7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purchase contracts are issued separately, or as a part of units each consisting of a purchase contract and one or more of our other securities or securities of an unaffiliated entity, including U.S. Treasury securities, securing the holder’s obligations under the purchase contract;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requirement for us to make periodic payments to holders or vice versa, and whether the payments are unsecured or pre-funded;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71"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purchase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shares.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when filed by us in a future Exchange Act report or as an amendment to the Registration Statement that this prospectus forms a part of, see “Where You Can Find Additional Information.”</w:t>
      </w:r>
    </w:p>
    <w:p>
      <w:pPr>
        <w:spacing w:after="0" w:line="1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16" w:lineRule="exact"/>
        <w:rPr>
          <w:sz w:val="20"/>
          <w:szCs w:val="20"/>
          <w:color w:val="auto"/>
        </w:rPr>
      </w:pPr>
    </w:p>
    <w:p>
      <w:pPr>
        <w:ind w:left="660" w:right="2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SHAREHOLDERS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prospectus relates to the possible resale of an undetermined number of common shares from time to time by certain selling shareholders to be named in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1440" w:right="499" w:bottom="1440" w:gutter="0" w:footer="0" w:header="0"/>
        </w:sectPr>
      </w:pPr>
    </w:p>
    <w:bookmarkStart w:id="40" w:name="page41"/>
    <w:bookmarkEnd w:id="4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or any selling shareholder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3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Each prospectus will indicate if the securities offered thereby will be listed on any securities exchange.</w:t>
      </w:r>
    </w:p>
    <w:p>
      <w:pPr>
        <w:spacing w:after="0" w:line="17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the applicable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(the “Securities Act”), and any discounts and commissions received by them and any profit realized by them on resale of the securities may be deemed to be underwriting discounts and commissions. We or any selling shareholder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4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option to purchase additional securities,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stabilize or maintain the market price of the securities at a level above that which might otherwise prevail in the open market. These transactions may be discontinued at any time.</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may engage in at-the-market offerings into an existing trading market in accordance with Rule 415(a)(4) under the Securities Act. In addition, we or any selling shareholder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our common shares. In addition, we or any selling shareholder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indicated in the applicable prospectus supplement, the validity of the securities in respect of which this prospectus is being delivered and certain other matters of British Virgin Islands law will be passed upon for us by Maples and Calder, our special British Virgin Islands counsel, and the validity of the depositary shares, debt securities, warrants, rights, purchase contracts and units and certain other matters of New York law will be passed upon for us by Sullivan &amp; Cromwell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1440" w:right="459" w:bottom="1440" w:gutter="0" w:footer="0" w:header="0"/>
        </w:sectPr>
      </w:pPr>
    </w:p>
    <w:bookmarkStart w:id="43" w:name="page44"/>
    <w:bookmarkEnd w:id="4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2022,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various expenses to be incurred in connection with the sale and distribution of the securities being registered hereby, all of which will be borne by Biohaven. All amounts shown are estimates, other than the FINRA filing fee.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Amount to be paid</w:t>
            </w:r>
          </w:p>
        </w:tc>
      </w:tr>
      <w:tr>
        <w:trPr>
          <w:trHeight w:val="26"/>
        </w:trPr>
        <w:tc>
          <w:tcPr>
            <w:tcW w:w="9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New York Stock Exchange listing fees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FINRA filing fee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225,500</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 and expenses of qualification under state securities laws (including legal fees)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fees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Rating agency fees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Trustee and depositary fees and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Biohaven is deferring payment of the registration fee in reliance on Rule 456(b) and Rule 457(r) under the Securities Act of 1933.</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fees are calculated based on the number of issuances and amount of securities offered and accordingly cannot be estimated at this time.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6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British Virgin Islands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believed to be in the best interests of the company and, in the case of criminal proceedings, the person had no reasonable cause to believe that his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Memorandum and Articles of Association.</w:t>
      </w:r>
    </w:p>
    <w:p>
      <w:pPr>
        <w:spacing w:after="0" w:line="11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under British Virgin Islands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limitation of liability and indemnification provisions that are included in our Amended Memorandum and Articles of Association and in indemnification agreements that we entered into with our directors and executive officers may discourage shareholders from bringing a lawsuit against our directors and executive officers for breach of their fiduciary duties. They may also reduce the likelihood of derivative litigation against our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executive officers, even though an action, if successful, might benefit us and other shareholders. Further, a shareholder’s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herein by reference unless otherwise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60" w:type="dxa"/>
            <w:vAlign w:val="bottom"/>
            <w:gridSpan w:val="10"/>
            <w:vMerge w:val="restart"/>
          </w:tcPr>
          <w:p>
            <w:pPr>
              <w:ind w:left="3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2"/>
        </w:trPr>
        <w:tc>
          <w:tcPr>
            <w:tcW w:w="10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1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6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15"/>
          </w:tcPr>
          <w:p>
            <w:pPr>
              <w:spacing w:after="0" w:line="190"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Securities Purchase Agreement between Kleo Pharmaceuticals, Inc. and the Registrant, dated as of August 29, 2016 (incorporated by</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reference to Exhibit 2.1 to the Registrant’s Current Report on Form 8-K (File No. 001-38080) filed with the Securities and Exchange</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6">
              <w:r>
                <w:rPr>
                  <w:rFonts w:ascii="Arial" w:cs="Arial" w:eastAsia="Arial" w:hAnsi="Arial"/>
                  <w:sz w:val="18"/>
                  <w:szCs w:val="18"/>
                  <w:color w:val="0000FF"/>
                </w:rPr>
                <w:t>Commission on June 14, 2017).</w:t>
              </w:r>
            </w:hyperlink>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5"/>
          </w:tcPr>
          <w:p>
            <w:pPr>
              <w:spacing w:after="0"/>
              <w:rPr>
                <w:rFonts w:ascii="Arial" w:cs="Arial" w:eastAsia="Arial" w:hAnsi="Arial"/>
                <w:sz w:val="18"/>
                <w:szCs w:val="18"/>
                <w:color w:val="0000FF"/>
              </w:rPr>
            </w:pPr>
            <w:hyperlink r:id="rId27">
              <w:r>
                <w:rPr>
                  <w:rFonts w:ascii="Arial" w:cs="Arial" w:eastAsia="Arial" w:hAnsi="Arial"/>
                  <w:sz w:val="18"/>
                  <w:szCs w:val="18"/>
                  <w:color w:val="0000FF"/>
                </w:rPr>
                <w:t>Amended &amp; Restated Memorandum and Articles of Association of Biohaven Ltd. (incorporated by reference to Exhibit 3.1 to the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Company’s Current Report on Form 8-K (File No. 001-41477) filed on October 3, 2022).</w:t>
              </w:r>
            </w:hyperlink>
          </w:p>
        </w:tc>
        <w:tc>
          <w:tcPr>
            <w:tcW w:w="6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Form of Indenture.</w:t>
            </w:r>
          </w:p>
        </w:tc>
        <w:tc>
          <w:tcPr>
            <w:tcW w:w="37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Depositary Agreement.</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Global Note.</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Common Share Warrant Agreement and Warrant Certificate.</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Preferred Share Warrant Agreement and Warrant Certificate.</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Debt Securities Warrant Agreement and Warrant Certificate.</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Rights Agreement.</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Purchase Agreement.</w:t>
            </w: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Unit Agreement and Unit Certificate.</w:t>
            </w:r>
          </w:p>
        </w:tc>
        <w:tc>
          <w:tcPr>
            <w:tcW w:w="0" w:type="dxa"/>
            <w:vAlign w:val="bottom"/>
          </w:tcPr>
          <w:p>
            <w:pPr>
              <w:spacing w:after="0"/>
              <w:rPr>
                <w:sz w:val="1"/>
                <w:szCs w:val="1"/>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15"/>
          </w:tcPr>
          <w:p>
            <w:pPr>
              <w:spacing w:after="0" w:line="190" w:lineRule="exact"/>
              <w:rPr>
                <w:sz w:val="20"/>
                <w:szCs w:val="20"/>
                <w:color w:val="auto"/>
              </w:rPr>
            </w:pPr>
            <w:r>
              <w:rPr>
                <w:rFonts w:ascii="Arial" w:cs="Arial" w:eastAsia="Arial" w:hAnsi="Arial"/>
                <w:sz w:val="18"/>
                <w:szCs w:val="18"/>
                <w:color w:val="0000FF"/>
                <w:w w:val="91"/>
              </w:rPr>
              <w:t>Opinion of Maples and Calder as to legality of common shares, preferred shares, debt securities, warrants, rights, purchase contracts, units</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and depositary shares (British Virgin Islands law).</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0000FF"/>
                <w:w w:val="92"/>
              </w:rPr>
              <w:t>Opinion of Sullivan &amp; Cromwell LLP relating to the debt securities, warrants, rights, purchase contracts, units and depositary shares (New</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York law).</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Consent of Ernst &amp; Young LLP, Independent Registered Public Accounting Firm.</w:t>
            </w:r>
          </w:p>
        </w:tc>
        <w:tc>
          <w:tcPr>
            <w:tcW w:w="42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0000FF"/>
              </w:rPr>
              <w:t>Consent of Maples and Calder (included in Exhibit 5.1)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4"/>
              </w:rPr>
              <w:t>Consent of Sullivan &amp; Cromwell LLP (included in Exhibit 5.2)</w:t>
            </w:r>
          </w:p>
        </w:tc>
        <w:tc>
          <w:tcPr>
            <w:tcW w:w="56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Powers of Attorney (included as part of the signature pages).</w:t>
            </w:r>
          </w:p>
        </w:tc>
        <w:tc>
          <w:tcPr>
            <w:tcW w:w="57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60" w:type="dxa"/>
            <w:vAlign w:val="bottom"/>
          </w:tcPr>
          <w:p>
            <w:pPr>
              <w:ind w:left="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T-1 Statement of Eligibility under Trust Indenture Act of 1939 of Trustee under the Indenture.</w:t>
            </w:r>
          </w:p>
        </w:tc>
        <w:tc>
          <w:tcPr>
            <w:tcW w:w="0" w:type="dxa"/>
            <w:vAlign w:val="bottom"/>
          </w:tcPr>
          <w:p>
            <w:pPr>
              <w:spacing w:after="0"/>
              <w:rPr>
                <w:sz w:val="1"/>
                <w:szCs w:val="1"/>
                <w:color w:val="auto"/>
              </w:rPr>
            </w:pPr>
          </w:p>
        </w:tc>
      </w:tr>
    </w:tbl>
    <w:p>
      <w:pPr>
        <w:ind w:left="1080" w:hanging="105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0000FF"/>
        </w:rPr>
        <w:t>Calculation of Filing Fee Tables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be filed by amendment or as an exhibit to a document to be incorporated by reference herein in connection with an offering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left="980" w:right="60" w:hanging="324"/>
        <w:spacing w:after="0" w:line="254" w:lineRule="auto"/>
        <w:tabs>
          <w:tab w:leader="none" w:pos="9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0" w:lineRule="exact"/>
        <w:rPr>
          <w:rFonts w:ascii="Arial" w:cs="Arial" w:eastAsia="Arial" w:hAnsi="Arial"/>
          <w:sz w:val="18"/>
          <w:szCs w:val="18"/>
          <w:color w:val="auto"/>
        </w:rPr>
      </w:pPr>
    </w:p>
    <w:p>
      <w:pPr>
        <w:ind w:left="980" w:right="56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ind w:left="660" w:right="80" w:hanging="328"/>
        <w:spacing w:after="0" w:line="263"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980" w:hanging="324"/>
        <w:spacing w:after="0" w:line="287" w:lineRule="auto"/>
        <w:tabs>
          <w:tab w:leader="none" w:pos="97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left="660" w:right="80" w:hanging="328"/>
        <w:spacing w:after="0" w:line="25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3"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left="980" w:right="580" w:hanging="324"/>
        <w:spacing w:after="0" w:line="277" w:lineRule="auto"/>
        <w:tabs>
          <w:tab w:leader="none" w:pos="9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960" w:hanging="304"/>
        <w:spacing w:after="0"/>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20" w:hanging="328"/>
        <w:spacing w:after="0" w:line="25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Haven, State of Connecticut, on the 2nd day of October, 2023.</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BIOHAVEN LTD.</w:t>
      </w:r>
    </w:p>
    <w:p>
      <w:pPr>
        <w:spacing w:after="0" w:line="2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 Coric</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Vlad Coric</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Each of the undersigned officers and directors of Biohaven Ltd. hereby severally constitute and appoint each of Vlad Coric, Matthew Buten, George Clark and Warren Volles as the attorneys-in-fact for the undersigned, in any and all capacities, with full power of substitution, to sign any and all pre- or post-effective amendments to this Registration Statement, any subsequent Registration Statement for the same offering which may be filed pursuant to</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Rule 462(b) under the Securities Act of 1933, as amended, and any and all pre- or post-effective amendments thereto, and to file the same with exhibits thereto and other documents in connection therewith, with the Securities and Exchange Commission, granting unto said attorneys-in-fact full power and authority to do and perform each and every act and thing requisite and necessary to be done in and about the premises, as fully to all intents and purposes as he might or could do in person, hereby ratifying and confirming all that said attorneys-in-fact may lawfully do or cause to be done by virtue hereof.</w:t>
      </w:r>
    </w:p>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jc w:val="center"/>
              <w:ind w:right="51"/>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5"/>
              </w:rPr>
              <w:t>/s/ Vlad Coric</w:t>
            </w:r>
          </w:p>
        </w:tc>
        <w:tc>
          <w:tcPr>
            <w:tcW w:w="100" w:type="dxa"/>
            <w:vAlign w:val="bottom"/>
          </w:tcPr>
          <w:p>
            <w:pPr>
              <w:spacing w:after="0"/>
              <w:rPr>
                <w:sz w:val="22"/>
                <w:szCs w:val="22"/>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51"/>
              <w:spacing w:after="0"/>
              <w:rPr>
                <w:sz w:val="20"/>
                <w:szCs w:val="20"/>
                <w:color w:val="auto"/>
              </w:rPr>
            </w:pPr>
            <w:r>
              <w:rPr>
                <w:rFonts w:ascii="Arial" w:cs="Arial" w:eastAsia="Arial" w:hAnsi="Arial"/>
                <w:sz w:val="18"/>
                <w:szCs w:val="18"/>
                <w:color w:val="auto"/>
                <w:w w:val="96"/>
              </w:rPr>
              <w:t>Vlad Coric</w:t>
            </w:r>
          </w:p>
        </w:tc>
        <w:tc>
          <w:tcPr>
            <w:tcW w:w="100" w:type="dxa"/>
            <w:vAlign w:val="bottom"/>
          </w:tcPr>
          <w:p>
            <w:pPr>
              <w:spacing w:after="0"/>
              <w:rPr>
                <w:sz w:val="8"/>
                <w:szCs w:val="8"/>
                <w:color w:val="auto"/>
              </w:rPr>
            </w:pPr>
          </w:p>
        </w:tc>
        <w:tc>
          <w:tcPr>
            <w:tcW w:w="4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4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2"/>
              </w:rPr>
              <w:t>/s/ Matthew Buten</w:t>
            </w:r>
          </w:p>
        </w:tc>
        <w:tc>
          <w:tcPr>
            <w:tcW w:w="100" w:type="dxa"/>
            <w:vAlign w:val="bottom"/>
          </w:tcPr>
          <w:p>
            <w:pPr>
              <w:spacing w:after="0"/>
              <w:rPr>
                <w:sz w:val="24"/>
                <w:szCs w:val="24"/>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Chief Financial Officer and Treasurer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51"/>
              <w:spacing w:after="0"/>
              <w:rPr>
                <w:sz w:val="20"/>
                <w:szCs w:val="20"/>
                <w:color w:val="auto"/>
              </w:rPr>
            </w:pPr>
            <w:r>
              <w:rPr>
                <w:rFonts w:ascii="Arial" w:cs="Arial" w:eastAsia="Arial" w:hAnsi="Arial"/>
                <w:sz w:val="18"/>
                <w:szCs w:val="18"/>
                <w:color w:val="auto"/>
                <w:w w:val="93"/>
              </w:rPr>
              <w:t>Matthew Buten</w:t>
            </w:r>
          </w:p>
        </w:tc>
        <w:tc>
          <w:tcPr>
            <w:tcW w:w="100" w:type="dxa"/>
            <w:vAlign w:val="bottom"/>
          </w:tcPr>
          <w:p>
            <w:pPr>
              <w:spacing w:after="0"/>
              <w:rPr>
                <w:sz w:val="8"/>
                <w:szCs w:val="8"/>
                <w:color w:val="auto"/>
              </w:rPr>
            </w:pPr>
          </w:p>
        </w:tc>
        <w:tc>
          <w:tcPr>
            <w:tcW w:w="4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4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/s/ George C. Clark</w:t>
            </w:r>
          </w:p>
        </w:tc>
        <w:tc>
          <w:tcPr>
            <w:tcW w:w="100" w:type="dxa"/>
            <w:vAlign w:val="bottom"/>
          </w:tcPr>
          <w:p>
            <w:pPr>
              <w:spacing w:after="0"/>
              <w:rPr>
                <w:sz w:val="24"/>
                <w:szCs w:val="24"/>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71"/>
              <w:spacing w:after="0"/>
              <w:rPr>
                <w:sz w:val="20"/>
                <w:szCs w:val="20"/>
                <w:color w:val="auto"/>
              </w:rPr>
            </w:pPr>
            <w:r>
              <w:rPr>
                <w:rFonts w:ascii="Arial" w:cs="Arial" w:eastAsia="Arial" w:hAnsi="Arial"/>
                <w:sz w:val="18"/>
                <w:szCs w:val="18"/>
                <w:color w:val="auto"/>
                <w:w w:val="90"/>
              </w:rPr>
              <w:t>George C. Clark</w:t>
            </w:r>
          </w:p>
        </w:tc>
        <w:tc>
          <w:tcPr>
            <w:tcW w:w="100" w:type="dxa"/>
            <w:vAlign w:val="bottom"/>
          </w:tcPr>
          <w:p>
            <w:pPr>
              <w:spacing w:after="0"/>
              <w:rPr>
                <w:sz w:val="8"/>
                <w:szCs w:val="8"/>
                <w:color w:val="auto"/>
              </w:rPr>
            </w:pPr>
          </w:p>
        </w:tc>
        <w:tc>
          <w:tcPr>
            <w:tcW w:w="4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4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/s/ Gregory Bailey</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51"/>
              <w:spacing w:after="0"/>
              <w:rPr>
                <w:sz w:val="20"/>
                <w:szCs w:val="20"/>
                <w:color w:val="auto"/>
              </w:rPr>
            </w:pPr>
            <w:r>
              <w:rPr>
                <w:rFonts w:ascii="Arial" w:cs="Arial" w:eastAsia="Arial" w:hAnsi="Arial"/>
                <w:sz w:val="18"/>
                <w:szCs w:val="18"/>
                <w:color w:val="auto"/>
                <w:w w:val="94"/>
              </w:rPr>
              <w:t>Gregory Bailey</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6"/>
              </w:rPr>
              <w:t>/s/ Irina Antonijevic</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51"/>
              <w:spacing w:after="0"/>
              <w:rPr>
                <w:sz w:val="20"/>
                <w:szCs w:val="20"/>
                <w:color w:val="auto"/>
              </w:rPr>
            </w:pPr>
            <w:r>
              <w:rPr>
                <w:rFonts w:ascii="Arial" w:cs="Arial" w:eastAsia="Arial" w:hAnsi="Arial"/>
                <w:sz w:val="18"/>
                <w:szCs w:val="18"/>
                <w:color w:val="auto"/>
                <w:w w:val="97"/>
              </w:rPr>
              <w:t>Irina Antonijevic</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/s/ John W. Childs</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71"/>
              <w:spacing w:after="0"/>
              <w:rPr>
                <w:sz w:val="20"/>
                <w:szCs w:val="20"/>
                <w:color w:val="auto"/>
              </w:rPr>
            </w:pPr>
            <w:r>
              <w:rPr>
                <w:rFonts w:ascii="Arial" w:cs="Arial" w:eastAsia="Arial" w:hAnsi="Arial"/>
                <w:sz w:val="18"/>
                <w:szCs w:val="18"/>
                <w:color w:val="auto"/>
                <w:w w:val="90"/>
              </w:rPr>
              <w:t>John W. Childs</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1"/>
              </w:rPr>
              <w:t>/s/ Julia Gregory</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71"/>
              <w:spacing w:after="0"/>
              <w:rPr>
                <w:sz w:val="20"/>
                <w:szCs w:val="20"/>
                <w:color w:val="auto"/>
              </w:rPr>
            </w:pPr>
            <w:r>
              <w:rPr>
                <w:rFonts w:ascii="Arial" w:cs="Arial" w:eastAsia="Arial" w:hAnsi="Arial"/>
                <w:sz w:val="18"/>
                <w:szCs w:val="18"/>
                <w:color w:val="auto"/>
                <w:w w:val="91"/>
              </w:rPr>
              <w:t>Julia Gregory</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/s/ Kishan Mehta</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2"/>
        </w:trPr>
        <w:tc>
          <w:tcPr>
            <w:tcW w:w="4300" w:type="dxa"/>
            <w:vAlign w:val="bottom"/>
            <w:vMerge w:val="restart"/>
          </w:tcPr>
          <w:p>
            <w:pPr>
              <w:jc w:val="center"/>
              <w:ind w:right="71"/>
              <w:spacing w:after="0"/>
              <w:rPr>
                <w:sz w:val="20"/>
                <w:szCs w:val="20"/>
                <w:color w:val="auto"/>
              </w:rPr>
            </w:pPr>
            <w:r>
              <w:rPr>
                <w:rFonts w:ascii="Arial" w:cs="Arial" w:eastAsia="Arial" w:hAnsi="Arial"/>
                <w:sz w:val="18"/>
                <w:szCs w:val="18"/>
                <w:color w:val="auto"/>
                <w:w w:val="92"/>
              </w:rPr>
              <w:t>Kishan Mehta</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2"/>
              </w:rPr>
              <w:t>/s/ Michael Heffernan</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1"/>
        </w:trPr>
        <w:tc>
          <w:tcPr>
            <w:tcW w:w="4300" w:type="dxa"/>
            <w:vAlign w:val="bottom"/>
            <w:vMerge w:val="restart"/>
          </w:tcPr>
          <w:p>
            <w:pPr>
              <w:jc w:val="center"/>
              <w:ind w:right="51"/>
              <w:spacing w:after="0"/>
              <w:rPr>
                <w:sz w:val="20"/>
                <w:szCs w:val="20"/>
                <w:color w:val="auto"/>
              </w:rPr>
            </w:pPr>
            <w:r>
              <w:rPr>
                <w:rFonts w:ascii="Arial" w:cs="Arial" w:eastAsia="Arial" w:hAnsi="Arial"/>
                <w:sz w:val="18"/>
                <w:szCs w:val="18"/>
                <w:color w:val="auto"/>
                <w:w w:val="93"/>
              </w:rPr>
              <w:t>Michael Heffernan</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3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2"/>
              </w:rPr>
              <w:t>/s/ Robert Hugin</w:t>
            </w:r>
          </w:p>
        </w:tc>
        <w:tc>
          <w:tcPr>
            <w:tcW w:w="100" w:type="dxa"/>
            <w:vAlign w:val="bottom"/>
          </w:tcPr>
          <w:p>
            <w:pPr>
              <w:spacing w:after="0"/>
              <w:rPr>
                <w:sz w:val="24"/>
                <w:szCs w:val="24"/>
                <w:color w:val="auto"/>
              </w:rPr>
            </w:pPr>
          </w:p>
        </w:tc>
        <w:tc>
          <w:tcPr>
            <w:tcW w:w="44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 2023</w:t>
            </w:r>
          </w:p>
        </w:tc>
        <w:tc>
          <w:tcPr>
            <w:tcW w:w="0" w:type="dxa"/>
            <w:vAlign w:val="bottom"/>
          </w:tcPr>
          <w:p>
            <w:pPr>
              <w:spacing w:after="0"/>
              <w:rPr>
                <w:sz w:val="1"/>
                <w:szCs w:val="1"/>
                <w:color w:val="auto"/>
              </w:rPr>
            </w:pPr>
          </w:p>
        </w:tc>
      </w:tr>
      <w:tr>
        <w:trPr>
          <w:trHeight w:val="101"/>
        </w:trPr>
        <w:tc>
          <w:tcPr>
            <w:tcW w:w="4300" w:type="dxa"/>
            <w:vAlign w:val="bottom"/>
            <w:vMerge w:val="restart"/>
          </w:tcPr>
          <w:p>
            <w:pPr>
              <w:jc w:val="center"/>
              <w:ind w:right="71"/>
              <w:spacing w:after="0"/>
              <w:rPr>
                <w:sz w:val="20"/>
                <w:szCs w:val="20"/>
                <w:color w:val="auto"/>
              </w:rPr>
            </w:pPr>
            <w:r>
              <w:rPr>
                <w:rFonts w:ascii="Arial" w:cs="Arial" w:eastAsia="Arial" w:hAnsi="Arial"/>
                <w:sz w:val="18"/>
                <w:szCs w:val="18"/>
                <w:color w:val="auto"/>
                <w:w w:val="92"/>
              </w:rPr>
              <w:t>Robert Hugin</w:t>
            </w:r>
          </w:p>
        </w:tc>
        <w:tc>
          <w:tcPr>
            <w:tcW w:w="10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0"/>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2"/>
          </w:tcPr>
          <w:p>
            <w:pPr>
              <w:ind w:left="1080"/>
              <w:spacing w:after="0"/>
              <w:rPr>
                <w:sz w:val="20"/>
                <w:szCs w:val="20"/>
                <w:color w:val="auto"/>
              </w:rPr>
            </w:pPr>
            <w:r>
              <w:rPr>
                <w:rFonts w:ascii="Arial" w:cs="Arial" w:eastAsia="Arial" w:hAnsi="Arial"/>
                <w:sz w:val="18"/>
                <w:szCs w:val="18"/>
                <w:color w:val="auto"/>
              </w:rPr>
              <w:t>II-5</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17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Pursuant to the United States Securities Act of 1933, as amended, the Authorized Representative has signed this Registration Statement solely in its capacity as the duly authorized representative of Biohaven Ltd. in the United States, in the New Haven, Connecticut on October 2, 2023.</w:t>
      </w:r>
    </w:p>
    <w:p>
      <w:pPr>
        <w:spacing w:after="0" w:line="10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BIOHAVEN LTD.</w:t>
      </w:r>
    </w:p>
    <w:p>
      <w:pPr>
        <w:spacing w:after="0" w:line="2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 Coric</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Vlad Coric</w:t>
            </w: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Representative in the United States</w:t>
            </w:r>
          </w:p>
        </w:tc>
      </w:tr>
      <w:tr>
        <w:trPr>
          <w:trHeight w:val="230"/>
        </w:trPr>
        <w:tc>
          <w:tcPr>
            <w:tcW w:w="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Biohaven Pharmaceuticals,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Calculation of Filing Fee Tables</w:t>
      </w:r>
    </w:p>
    <w:p>
      <w:pPr>
        <w:spacing w:after="0" w:line="17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FORM S-3</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(Form Type)</w:t>
      </w:r>
    </w:p>
    <w:p>
      <w:pPr>
        <w:spacing w:after="0" w:line="16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Biohaven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Table 1: Newly Registered and Carry Forward Securities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040" w:type="dxa"/>
            <w:vAlign w:val="bottom"/>
            <w:tcBorders>
              <w:top w:val="single" w:sz="8" w:color="auto"/>
              <w:left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400" w:type="dxa"/>
            <w:vAlign w:val="bottom"/>
            <w:tcBorders>
              <w:top w:val="single" w:sz="8" w:color="auto"/>
              <w:right w:val="single" w:sz="8" w:color="auto"/>
            </w:tcBorders>
          </w:tcPr>
          <w:p>
            <w:pPr>
              <w:spacing w:after="0"/>
              <w:rPr>
                <w:sz w:val="13"/>
                <w:szCs w:val="13"/>
                <w:color w:val="auto"/>
              </w:rPr>
            </w:pPr>
          </w:p>
        </w:tc>
        <w:tc>
          <w:tcPr>
            <w:tcW w:w="860" w:type="dxa"/>
            <w:vAlign w:val="bottom"/>
            <w:tcBorders>
              <w:top w:val="single" w:sz="8" w:color="auto"/>
            </w:tcBorders>
          </w:tcPr>
          <w:p>
            <w:pPr>
              <w:jc w:val="center"/>
              <w:ind w:left="153"/>
              <w:spacing w:after="0"/>
              <w:rPr>
                <w:sz w:val="20"/>
                <w:szCs w:val="20"/>
                <w:color w:val="auto"/>
              </w:rPr>
            </w:pPr>
            <w:r>
              <w:rPr>
                <w:rFonts w:ascii="Arial" w:cs="Arial" w:eastAsia="Arial" w:hAnsi="Arial"/>
                <w:sz w:val="13"/>
                <w:szCs w:val="13"/>
                <w:color w:val="auto"/>
                <w:w w:val="89"/>
              </w:rPr>
              <w:t>Fee</w:t>
            </w:r>
          </w:p>
        </w:tc>
        <w:tc>
          <w:tcPr>
            <w:tcW w:w="28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Proposed Maximum</w:t>
            </w:r>
          </w:p>
        </w:tc>
        <w:tc>
          <w:tcPr>
            <w:tcW w:w="152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14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Security</w:t>
            </w:r>
          </w:p>
        </w:tc>
        <w:tc>
          <w:tcPr>
            <w:tcW w:w="1400" w:type="dxa"/>
            <w:vAlign w:val="bottom"/>
            <w:tcBorders>
              <w:right w:val="single" w:sz="8" w:color="auto"/>
            </w:tcBorders>
          </w:tcPr>
          <w:p>
            <w:pPr>
              <w:spacing w:after="0"/>
              <w:rPr>
                <w:sz w:val="11"/>
                <w:szCs w:val="11"/>
                <w:color w:val="auto"/>
              </w:rPr>
            </w:pPr>
          </w:p>
        </w:tc>
        <w:tc>
          <w:tcPr>
            <w:tcW w:w="860" w:type="dxa"/>
            <w:vAlign w:val="bottom"/>
          </w:tcPr>
          <w:p>
            <w:pPr>
              <w:jc w:val="center"/>
              <w:ind w:left="173"/>
              <w:spacing w:after="0" w:line="135" w:lineRule="exact"/>
              <w:rPr>
                <w:sz w:val="20"/>
                <w:szCs w:val="20"/>
                <w:color w:val="auto"/>
              </w:rPr>
            </w:pPr>
            <w:r>
              <w:rPr>
                <w:rFonts w:ascii="Arial" w:cs="Arial" w:eastAsia="Arial" w:hAnsi="Arial"/>
                <w:sz w:val="13"/>
                <w:szCs w:val="13"/>
                <w:color w:val="auto"/>
                <w:w w:val="96"/>
              </w:rPr>
              <w:t>Calculation</w:t>
            </w: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3"/>
                <w:szCs w:val="13"/>
                <w:color w:val="auto"/>
              </w:rPr>
              <w:t>Amount</w:t>
            </w:r>
          </w:p>
        </w:tc>
        <w:tc>
          <w:tcPr>
            <w:tcW w:w="144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Maximum Aggregate</w:t>
            </w:r>
          </w:p>
        </w:tc>
        <w:tc>
          <w:tcPr>
            <w:tcW w:w="10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Amount of</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5"/>
              </w:rPr>
              <w:t>Security Class Title</w:t>
            </w:r>
          </w:p>
        </w:tc>
        <w:tc>
          <w:tcPr>
            <w:tcW w:w="860" w:type="dxa"/>
            <w:vAlign w:val="bottom"/>
            <w:vMerge w:val="restart"/>
          </w:tcPr>
          <w:p>
            <w:pPr>
              <w:jc w:val="center"/>
              <w:ind w:left="173"/>
              <w:spacing w:after="0" w:line="135" w:lineRule="exact"/>
              <w:rPr>
                <w:sz w:val="20"/>
                <w:szCs w:val="20"/>
                <w:color w:val="auto"/>
              </w:rPr>
            </w:pPr>
            <w:r>
              <w:rPr>
                <w:rFonts w:ascii="Arial" w:cs="Arial" w:eastAsia="Arial" w:hAnsi="Arial"/>
                <w:sz w:val="13"/>
                <w:szCs w:val="13"/>
                <w:color w:val="auto"/>
                <w:w w:val="97"/>
              </w:rPr>
              <w:t>or Carry</w:t>
            </w:r>
          </w:p>
        </w:tc>
        <w:tc>
          <w:tcPr>
            <w:tcW w:w="2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4"/>
              </w:rPr>
              <w:t>Offering Price Per</w:t>
            </w:r>
          </w:p>
        </w:tc>
        <w:tc>
          <w:tcPr>
            <w:tcW w:w="152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restart"/>
          </w:tcPr>
          <w:p>
            <w:pPr>
              <w:ind w:left="280"/>
              <w:spacing w:after="0" w:line="135" w:lineRule="exact"/>
              <w:rPr>
                <w:sz w:val="20"/>
                <w:szCs w:val="20"/>
                <w:color w:val="auto"/>
              </w:rPr>
            </w:pPr>
            <w:r>
              <w:rPr>
                <w:rFonts w:ascii="Arial" w:cs="Arial" w:eastAsia="Arial" w:hAnsi="Arial"/>
                <w:sz w:val="13"/>
                <w:szCs w:val="13"/>
                <w:color w:val="auto"/>
              </w:rPr>
              <w:t>Fee Rate</w:t>
            </w: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9"/>
              </w:rPr>
              <w:t>Type</w:t>
            </w:r>
          </w:p>
        </w:tc>
        <w:tc>
          <w:tcPr>
            <w:tcW w:w="1400" w:type="dxa"/>
            <w:vAlign w:val="bottom"/>
            <w:tcBorders>
              <w:right w:val="single" w:sz="8" w:color="auto"/>
            </w:tcBorders>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vMerge w:val="restart"/>
          </w:tcPr>
          <w:p>
            <w:pPr>
              <w:jc w:val="right"/>
              <w:ind w:right="233"/>
              <w:spacing w:after="0"/>
              <w:rPr>
                <w:sz w:val="20"/>
                <w:szCs w:val="20"/>
                <w:color w:val="auto"/>
              </w:rPr>
            </w:pPr>
            <w:r>
              <w:rPr>
                <w:rFonts w:ascii="Arial" w:cs="Arial" w:eastAsia="Arial" w:hAnsi="Arial"/>
                <w:sz w:val="13"/>
                <w:szCs w:val="13"/>
                <w:color w:val="auto"/>
              </w:rPr>
              <w:t>Registered</w:t>
            </w:r>
          </w:p>
        </w:tc>
        <w:tc>
          <w:tcPr>
            <w:tcW w:w="1440" w:type="dxa"/>
            <w:vAlign w:val="bottom"/>
            <w:tcBorders>
              <w:right w:val="single" w:sz="8" w:color="auto"/>
            </w:tcBorders>
            <w:vMerge w:val="continue"/>
          </w:tcPr>
          <w:p>
            <w:pPr>
              <w:spacing w:after="0"/>
              <w:rPr>
                <w:sz w:val="5"/>
                <w:szCs w:val="5"/>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Offering Price</w:t>
            </w:r>
          </w:p>
        </w:tc>
        <w:tc>
          <w:tcPr>
            <w:tcW w:w="106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Registration Fee</w:t>
            </w:r>
          </w:p>
        </w:tc>
        <w:tc>
          <w:tcPr>
            <w:tcW w:w="0" w:type="dxa"/>
            <w:vAlign w:val="bottom"/>
          </w:tcPr>
          <w:p>
            <w:pPr>
              <w:spacing w:after="0"/>
              <w:rPr>
                <w:sz w:val="1"/>
                <w:szCs w:val="1"/>
                <w:color w:val="auto"/>
              </w:rPr>
            </w:pPr>
          </w:p>
        </w:tc>
      </w:tr>
      <w:tr>
        <w:trPr>
          <w:trHeight w:val="105"/>
        </w:trPr>
        <w:tc>
          <w:tcPr>
            <w:tcW w:w="1040" w:type="dxa"/>
            <w:vAlign w:val="bottom"/>
            <w:tcBorders>
              <w:left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860" w:type="dxa"/>
            <w:vAlign w:val="bottom"/>
            <w:vMerge w:val="restart"/>
          </w:tcPr>
          <w:p>
            <w:pPr>
              <w:jc w:val="center"/>
              <w:ind w:left="173"/>
              <w:spacing w:after="0" w:line="135" w:lineRule="exact"/>
              <w:rPr>
                <w:sz w:val="20"/>
                <w:szCs w:val="20"/>
                <w:color w:val="auto"/>
              </w:rPr>
            </w:pPr>
            <w:r>
              <w:rPr>
                <w:rFonts w:ascii="Arial" w:cs="Arial" w:eastAsia="Arial" w:hAnsi="Arial"/>
                <w:sz w:val="13"/>
                <w:szCs w:val="13"/>
                <w:color w:val="auto"/>
                <w:w w:val="96"/>
              </w:rPr>
              <w:t>Forward</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rPr>
              <w:t>Unit</w:t>
            </w:r>
          </w:p>
        </w:tc>
        <w:tc>
          <w:tcPr>
            <w:tcW w:w="152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40" w:type="dxa"/>
            <w:vAlign w:val="bottom"/>
            <w:tcBorders>
              <w:left w:val="single" w:sz="8" w:color="auto"/>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860" w:type="dxa"/>
            <w:vAlign w:val="bottom"/>
            <w:vMerge w:val="continue"/>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440" w:type="dxa"/>
            <w:vAlign w:val="bottom"/>
            <w:tcBorders>
              <w:right w:val="single" w:sz="8" w:color="auto"/>
            </w:tcBorders>
            <w:vMerge w:val="continue"/>
          </w:tcPr>
          <w:p>
            <w:pPr>
              <w:spacing w:after="0"/>
              <w:rPr>
                <w:sz w:val="2"/>
                <w:szCs w:val="2"/>
                <w:color w:val="auto"/>
              </w:rPr>
            </w:pPr>
          </w:p>
        </w:tc>
        <w:tc>
          <w:tcPr>
            <w:tcW w:w="152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jc w:val="center"/>
              <w:ind w:left="173"/>
              <w:spacing w:after="0"/>
              <w:rPr>
                <w:sz w:val="20"/>
                <w:szCs w:val="20"/>
                <w:color w:val="auto"/>
              </w:rPr>
            </w:pPr>
            <w:r>
              <w:rPr>
                <w:rFonts w:ascii="Arial" w:cs="Arial" w:eastAsia="Arial" w:hAnsi="Arial"/>
                <w:sz w:val="13"/>
                <w:szCs w:val="13"/>
                <w:color w:val="auto"/>
                <w:w w:val="97"/>
              </w:rPr>
              <w:t>Rule</w:t>
            </w: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
          </w:tcPr>
          <w:p>
            <w:pPr>
              <w:jc w:val="center"/>
              <w:ind w:right="573"/>
              <w:spacing w:after="0"/>
              <w:rPr>
                <w:sz w:val="20"/>
                <w:szCs w:val="20"/>
                <w:color w:val="auto"/>
              </w:rPr>
            </w:pPr>
            <w:r>
              <w:rPr>
                <w:rFonts w:ascii="Arial" w:cs="Arial" w:eastAsia="Arial" w:hAnsi="Arial"/>
                <w:sz w:val="13"/>
                <w:szCs w:val="13"/>
                <w:b w:val="1"/>
                <w:bCs w:val="1"/>
                <w:color w:val="auto"/>
                <w:w w:val="91"/>
              </w:rPr>
              <w:t>Newly Registered Securities</w:t>
            </w:r>
          </w:p>
        </w:tc>
        <w:tc>
          <w:tcPr>
            <w:tcW w:w="1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4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1"/>
              </w:rPr>
              <w:t>Fees to be</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Equity</w:t>
            </w:r>
          </w:p>
        </w:tc>
        <w:tc>
          <w:tcPr>
            <w:tcW w:w="14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2"/>
              </w:rPr>
              <w:t>Common Shares, no</w:t>
            </w:r>
          </w:p>
        </w:tc>
        <w:tc>
          <w:tcPr>
            <w:tcW w:w="860" w:type="dxa"/>
            <w:vAlign w:val="bottom"/>
            <w:vMerge w:val="restart"/>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Paid</w:t>
            </w:r>
          </w:p>
        </w:tc>
        <w:tc>
          <w:tcPr>
            <w:tcW w:w="10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par value per share</w:t>
            </w:r>
          </w:p>
        </w:tc>
        <w:tc>
          <w:tcPr>
            <w:tcW w:w="86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4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Equity</w:t>
            </w:r>
          </w:p>
        </w:tc>
        <w:tc>
          <w:tcPr>
            <w:tcW w:w="14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1"/>
              </w:rPr>
              <w:t>Preferred Shares, no</w:t>
            </w:r>
          </w:p>
        </w:tc>
        <w:tc>
          <w:tcPr>
            <w:tcW w:w="860" w:type="dxa"/>
            <w:vAlign w:val="bottom"/>
            <w:vMerge w:val="restart"/>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5"/>
        </w:trPr>
        <w:tc>
          <w:tcPr>
            <w:tcW w:w="1040" w:type="dxa"/>
            <w:vAlign w:val="bottom"/>
            <w:tcBorders>
              <w:left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par value per share</w:t>
            </w:r>
          </w:p>
        </w:tc>
        <w:tc>
          <w:tcPr>
            <w:tcW w:w="86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Equity</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Depositary Shares</w:t>
            </w:r>
          </w:p>
        </w:tc>
        <w:tc>
          <w:tcPr>
            <w:tcW w:w="86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Debt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Debt Securities</w:t>
            </w:r>
          </w:p>
        </w:tc>
        <w:tc>
          <w:tcPr>
            <w:tcW w:w="86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Other</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Warrants</w:t>
            </w:r>
          </w:p>
        </w:tc>
        <w:tc>
          <w:tcPr>
            <w:tcW w:w="86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Other</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Rights</w:t>
            </w:r>
          </w:p>
        </w:tc>
        <w:tc>
          <w:tcPr>
            <w:tcW w:w="86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Other</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Purchase Contracts</w:t>
            </w:r>
          </w:p>
        </w:tc>
        <w:tc>
          <w:tcPr>
            <w:tcW w:w="86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Other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Units</w:t>
            </w:r>
          </w:p>
        </w:tc>
        <w:tc>
          <w:tcPr>
            <w:tcW w:w="860" w:type="dxa"/>
            <w:vAlign w:val="bottom"/>
          </w:tcPr>
          <w:p>
            <w:pPr>
              <w:jc w:val="center"/>
              <w:ind w:left="153"/>
              <w:spacing w:after="0"/>
              <w:rPr>
                <w:sz w:val="20"/>
                <w:szCs w:val="20"/>
                <w:color w:val="auto"/>
              </w:rPr>
            </w:pPr>
            <w:r>
              <w:rPr>
                <w:rFonts w:ascii="Arial" w:cs="Arial" w:eastAsia="Arial" w:hAnsi="Arial"/>
                <w:sz w:val="13"/>
                <w:szCs w:val="13"/>
                <w:color w:val="auto"/>
              </w:rPr>
              <w:t>(1)</w:t>
            </w:r>
          </w:p>
        </w:tc>
        <w:tc>
          <w:tcPr>
            <w:tcW w:w="2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040" w:type="dxa"/>
            <w:vAlign w:val="bottom"/>
            <w:tcBorders>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82"/>
              </w:rPr>
              <w:t>Fees</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ind w:left="173"/>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Previously</w:t>
            </w:r>
          </w:p>
        </w:tc>
        <w:tc>
          <w:tcPr>
            <w:tcW w:w="104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Paid</w:t>
            </w:r>
          </w:p>
        </w:tc>
        <w:tc>
          <w:tcPr>
            <w:tcW w:w="10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
          </w:tcPr>
          <w:p>
            <w:pPr>
              <w:jc w:val="center"/>
              <w:ind w:right="573"/>
              <w:spacing w:after="0"/>
              <w:rPr>
                <w:sz w:val="20"/>
                <w:szCs w:val="20"/>
                <w:color w:val="auto"/>
              </w:rPr>
            </w:pPr>
            <w:r>
              <w:rPr>
                <w:rFonts w:ascii="Arial" w:cs="Arial" w:eastAsia="Arial" w:hAnsi="Arial"/>
                <w:sz w:val="13"/>
                <w:szCs w:val="13"/>
                <w:b w:val="1"/>
                <w:bCs w:val="1"/>
                <w:color w:val="auto"/>
                <w:w w:val="95"/>
              </w:rPr>
              <w:t>Carry Forward Securities</w:t>
            </w:r>
          </w:p>
        </w:tc>
        <w:tc>
          <w:tcPr>
            <w:tcW w:w="1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4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Carry</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ind w:left="173"/>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104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Securities</w:t>
            </w:r>
          </w:p>
        </w:tc>
        <w:tc>
          <w:tcPr>
            <w:tcW w:w="10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gridSpan w:val="2"/>
          </w:tcPr>
          <w:p>
            <w:pPr>
              <w:jc w:val="right"/>
              <w:ind w:right="33"/>
              <w:spacing w:after="0"/>
              <w:rPr>
                <w:sz w:val="20"/>
                <w:szCs w:val="20"/>
                <w:color w:val="auto"/>
              </w:rPr>
            </w:pPr>
            <w:r>
              <w:rPr>
                <w:rFonts w:ascii="Arial" w:cs="Arial" w:eastAsia="Arial" w:hAnsi="Arial"/>
                <w:sz w:val="13"/>
                <w:szCs w:val="13"/>
                <w:color w:val="auto"/>
                <w:w w:val="95"/>
              </w:rPr>
              <w:t>Total Offering Amounts</w:t>
            </w: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3"/>
          </w:tcPr>
          <w:p>
            <w:pPr>
              <w:jc w:val="right"/>
              <w:ind w:right="33"/>
              <w:spacing w:after="0"/>
              <w:rPr>
                <w:sz w:val="20"/>
                <w:szCs w:val="20"/>
                <w:color w:val="auto"/>
              </w:rPr>
            </w:pPr>
            <w:r>
              <w:rPr>
                <w:rFonts w:ascii="Arial" w:cs="Arial" w:eastAsia="Arial" w:hAnsi="Arial"/>
                <w:sz w:val="13"/>
                <w:szCs w:val="13"/>
                <w:color w:val="auto"/>
              </w:rPr>
              <w:t>Total Fees Previously Paid</w:t>
            </w: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Total Fee Offsets</w:t>
            </w: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Net Fee Due</w:t>
            </w:r>
          </w:p>
        </w:tc>
        <w:tc>
          <w:tcPr>
            <w:tcW w:w="14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8"/>
        <w:spacing w:after="0" w:line="293" w:lineRule="auto"/>
        <w:tabs>
          <w:tab w:leader="none" w:pos="204"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160" w:lineRule="exact"/>
        <w:rPr>
          <w:rFonts w:ascii="Arial" w:cs="Arial" w:eastAsia="Arial" w:hAnsi="Arial"/>
          <w:sz w:val="14"/>
          <w:szCs w:val="14"/>
          <w:color w:val="auto"/>
        </w:rPr>
      </w:pPr>
    </w:p>
    <w:p>
      <w:pPr>
        <w:ind w:right="60" w:firstLine="8"/>
        <w:spacing w:after="0" w:line="277" w:lineRule="auto"/>
        <w:tabs>
          <w:tab w:leader="none" w:pos="20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There is being registered hereunder such indeterminate number or amount of common shares, preferred shares, depositary shares, debt securities, warrants, rights, purchase contracts and units of the Registrant as may from time to time be issued at indeterminate prices and as may be issued upon conversion, redemption, exchange, exercise or settlement of any securities registered hereunder, including under any applicable antidilution provisions.</w:t>
      </w:r>
    </w:p>
    <w:p>
      <w:pPr>
        <w:sectPr>
          <w:pgSz w:w="11900" w:h="16838" w:orient="portrait"/>
          <w:cols w:equalWidth="0" w:num="1">
            <w:col w:w="11240"/>
          </w:cols>
          <w:pgMar w:left="320" w:top="1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BIOHAVEN LTD.</w:t>
      </w:r>
    </w:p>
    <w:p>
      <w:pPr>
        <w:spacing w:after="0" w:line="33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t>
      </w:r>
    </w:p>
    <w:p>
      <w:pPr>
        <w:spacing w:after="0" w:line="3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INDENTURE</w:t>
      </w:r>
    </w:p>
    <w:p>
      <w:pPr>
        <w:spacing w:after="0" w:line="34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Dated as of ____________, 20____</w:t>
      </w:r>
    </w:p>
    <w:p>
      <w:pPr>
        <w:spacing w:after="0" w:line="32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t>
      </w:r>
    </w:p>
    <w:p>
      <w:pPr>
        <w:spacing w:after="0" w:line="3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spacing w:after="0" w:line="339"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Trustee</w:t>
      </w:r>
    </w:p>
    <w:p>
      <w:pPr>
        <w:sectPr>
          <w:pgSz w:w="11900" w:h="16838" w:orient="portrait"/>
          <w:cols w:equalWidth="0" w:num="1">
            <w:col w:w="10120"/>
          </w:cols>
          <w:pgMar w:left="1440" w:top="13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80"/>
        </w:trPr>
        <w:tc>
          <w:tcPr>
            <w:tcW w:w="1320" w:type="dxa"/>
            <w:vAlign w:val="bottom"/>
          </w:tcPr>
          <w:p>
            <w:pPr>
              <w:spacing w:after="0"/>
              <w:rPr>
                <w:sz w:val="24"/>
                <w:szCs w:val="24"/>
                <w:color w:val="auto"/>
              </w:rPr>
            </w:pPr>
          </w:p>
        </w:tc>
        <w:tc>
          <w:tcPr>
            <w:tcW w:w="9040" w:type="dxa"/>
            <w:vAlign w:val="bottom"/>
          </w:tcPr>
          <w:p>
            <w:pPr>
              <w:ind w:left="3120"/>
              <w:spacing w:after="0"/>
              <w:rPr>
                <w:sz w:val="20"/>
                <w:szCs w:val="20"/>
                <w:color w:val="auto"/>
              </w:rPr>
            </w:pPr>
            <w:r>
              <w:rPr>
                <w:rFonts w:ascii="Arial" w:cs="Arial" w:eastAsia="Arial" w:hAnsi="Arial"/>
                <w:sz w:val="22"/>
                <w:szCs w:val="22"/>
                <w:b w:val="1"/>
                <w:bCs w:val="1"/>
                <w:color w:val="auto"/>
              </w:rPr>
              <w:t>TABLE OF CONTENTS</w:t>
            </w:r>
          </w:p>
        </w:tc>
        <w:tc>
          <w:tcPr>
            <w:tcW w:w="860" w:type="dxa"/>
            <w:vAlign w:val="bottom"/>
          </w:tcPr>
          <w:p>
            <w:pPr>
              <w:spacing w:after="0"/>
              <w:rPr>
                <w:sz w:val="24"/>
                <w:szCs w:val="24"/>
                <w:color w:val="auto"/>
              </w:rPr>
            </w:pPr>
          </w:p>
        </w:tc>
      </w:tr>
      <w:tr>
        <w:trPr>
          <w:trHeight w:val="429"/>
        </w:trPr>
        <w:tc>
          <w:tcPr>
            <w:tcW w:w="13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w w:val="83"/>
              </w:rPr>
              <w:t>Page</w:t>
            </w:r>
          </w:p>
        </w:tc>
      </w:tr>
      <w:tr>
        <w:trPr>
          <w:trHeight w:val="234"/>
        </w:trPr>
        <w:tc>
          <w:tcPr>
            <w:tcW w:w="1320" w:type="dxa"/>
            <w:vAlign w:val="bottom"/>
          </w:tcPr>
          <w:p>
            <w:pPr>
              <w:spacing w:after="0"/>
              <w:rPr>
                <w:sz w:val="20"/>
                <w:szCs w:val="20"/>
                <w:color w:val="auto"/>
              </w:rPr>
            </w:pPr>
          </w:p>
        </w:tc>
        <w:tc>
          <w:tcPr>
            <w:tcW w:w="9040" w:type="dxa"/>
            <w:vAlign w:val="bottom"/>
          </w:tcPr>
          <w:p>
            <w:pPr>
              <w:jc w:val="center"/>
              <w:ind w:right="1241"/>
              <w:spacing w:after="0"/>
              <w:rPr>
                <w:sz w:val="20"/>
                <w:szCs w:val="20"/>
                <w:color w:val="auto"/>
              </w:rPr>
            </w:pPr>
            <w:r>
              <w:rPr>
                <w:rFonts w:ascii="Arial" w:cs="Arial" w:eastAsia="Arial" w:hAnsi="Arial"/>
                <w:sz w:val="20"/>
                <w:szCs w:val="20"/>
                <w:color w:val="auto"/>
                <w:w w:val="98"/>
              </w:rPr>
              <w:t>ARTICLE I</w:t>
            </w:r>
          </w:p>
        </w:tc>
        <w:tc>
          <w:tcPr>
            <w:tcW w:w="860" w:type="dxa"/>
            <w:vAlign w:val="bottom"/>
          </w:tcPr>
          <w:p>
            <w:pPr>
              <w:spacing w:after="0"/>
              <w:rPr>
                <w:sz w:val="20"/>
                <w:szCs w:val="20"/>
                <w:color w:val="auto"/>
              </w:rPr>
            </w:pPr>
          </w:p>
        </w:tc>
      </w:tr>
      <w:tr>
        <w:trPr>
          <w:trHeight w:val="310"/>
        </w:trPr>
        <w:tc>
          <w:tcPr>
            <w:tcW w:w="1320" w:type="dxa"/>
            <w:vAlign w:val="bottom"/>
          </w:tcPr>
          <w:p>
            <w:pPr>
              <w:spacing w:after="0"/>
              <w:rPr>
                <w:sz w:val="24"/>
                <w:szCs w:val="24"/>
                <w:color w:val="auto"/>
              </w:rPr>
            </w:pPr>
          </w:p>
        </w:tc>
        <w:tc>
          <w:tcPr>
            <w:tcW w:w="9040" w:type="dxa"/>
            <w:vAlign w:val="bottom"/>
          </w:tcPr>
          <w:p>
            <w:pPr>
              <w:ind w:left="1860"/>
              <w:spacing w:after="0"/>
              <w:rPr>
                <w:sz w:val="20"/>
                <w:szCs w:val="20"/>
                <w:color w:val="auto"/>
              </w:rPr>
            </w:pPr>
            <w:r>
              <w:rPr>
                <w:rFonts w:ascii="Arial" w:cs="Arial" w:eastAsia="Arial" w:hAnsi="Arial"/>
                <w:sz w:val="20"/>
                <w:szCs w:val="20"/>
                <w:color w:val="auto"/>
              </w:rPr>
              <w:t>DEFINITIONS AND INCORPORATION BY REFERENCE</w:t>
            </w:r>
          </w:p>
        </w:tc>
        <w:tc>
          <w:tcPr>
            <w:tcW w:w="860" w:type="dxa"/>
            <w:vAlign w:val="bottom"/>
          </w:tcPr>
          <w:p>
            <w:pPr>
              <w:spacing w:after="0"/>
              <w:rPr>
                <w:sz w:val="24"/>
                <w:szCs w:val="24"/>
                <w:color w:val="auto"/>
              </w:rPr>
            </w:pP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1.1</w:t>
            </w:r>
          </w:p>
        </w:tc>
        <w:tc>
          <w:tcPr>
            <w:tcW w:w="9040" w:type="dxa"/>
            <w:vAlign w:val="bottom"/>
          </w:tcPr>
          <w:p>
            <w:pPr>
              <w:ind w:left="320"/>
              <w:spacing w:after="0"/>
              <w:rPr>
                <w:sz w:val="20"/>
                <w:szCs w:val="20"/>
                <w:color w:val="auto"/>
              </w:rPr>
            </w:pPr>
            <w:r>
              <w:rPr>
                <w:rFonts w:ascii="Arial" w:cs="Arial" w:eastAsia="Arial" w:hAnsi="Arial"/>
                <w:sz w:val="20"/>
                <w:szCs w:val="20"/>
                <w:color w:val="auto"/>
              </w:rPr>
              <w:t>Definitions.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1.2</w:t>
            </w:r>
          </w:p>
        </w:tc>
        <w:tc>
          <w:tcPr>
            <w:tcW w:w="9040" w:type="dxa"/>
            <w:vAlign w:val="bottom"/>
          </w:tcPr>
          <w:p>
            <w:pPr>
              <w:ind w:left="320"/>
              <w:spacing w:after="0"/>
              <w:rPr>
                <w:sz w:val="20"/>
                <w:szCs w:val="20"/>
                <w:color w:val="auto"/>
              </w:rPr>
            </w:pPr>
            <w:r>
              <w:rPr>
                <w:rFonts w:ascii="Arial" w:cs="Arial" w:eastAsia="Arial" w:hAnsi="Arial"/>
                <w:sz w:val="20"/>
                <w:szCs w:val="20"/>
                <w:color w:val="auto"/>
              </w:rPr>
              <w:t>Other Definitions.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4</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1.3</w:t>
            </w:r>
          </w:p>
        </w:tc>
        <w:tc>
          <w:tcPr>
            <w:tcW w:w="9040" w:type="dxa"/>
            <w:vAlign w:val="bottom"/>
          </w:tcPr>
          <w:p>
            <w:pPr>
              <w:ind w:left="320"/>
              <w:spacing w:after="0"/>
              <w:rPr>
                <w:sz w:val="20"/>
                <w:szCs w:val="20"/>
                <w:color w:val="auto"/>
              </w:rPr>
            </w:pPr>
            <w:r>
              <w:rPr>
                <w:rFonts w:ascii="Arial" w:cs="Arial" w:eastAsia="Arial" w:hAnsi="Arial"/>
                <w:sz w:val="20"/>
                <w:szCs w:val="20"/>
                <w:color w:val="auto"/>
              </w:rPr>
              <w:t>Incorporation by Reference of Trust Indenture Act.</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5</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1.4</w:t>
            </w:r>
          </w:p>
        </w:tc>
        <w:tc>
          <w:tcPr>
            <w:tcW w:w="9040" w:type="dxa"/>
            <w:vAlign w:val="bottom"/>
          </w:tcPr>
          <w:p>
            <w:pPr>
              <w:ind w:left="320"/>
              <w:spacing w:after="0"/>
              <w:rPr>
                <w:sz w:val="20"/>
                <w:szCs w:val="20"/>
                <w:color w:val="auto"/>
              </w:rPr>
            </w:pPr>
            <w:r>
              <w:rPr>
                <w:rFonts w:ascii="Arial" w:cs="Arial" w:eastAsia="Arial" w:hAnsi="Arial"/>
                <w:sz w:val="20"/>
                <w:szCs w:val="20"/>
                <w:color w:val="auto"/>
              </w:rPr>
              <w:t>Rules of Construction.</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5</w:t>
            </w:r>
          </w:p>
        </w:tc>
      </w:tr>
      <w:tr>
        <w:trPr>
          <w:trHeight w:val="310"/>
        </w:trPr>
        <w:tc>
          <w:tcPr>
            <w:tcW w:w="1320" w:type="dxa"/>
            <w:vAlign w:val="bottom"/>
          </w:tcPr>
          <w:p>
            <w:pPr>
              <w:spacing w:after="0"/>
              <w:rPr>
                <w:sz w:val="24"/>
                <w:szCs w:val="24"/>
                <w:color w:val="auto"/>
              </w:rPr>
            </w:pPr>
          </w:p>
        </w:tc>
        <w:tc>
          <w:tcPr>
            <w:tcW w:w="9040" w:type="dxa"/>
            <w:vAlign w:val="bottom"/>
          </w:tcPr>
          <w:p>
            <w:pPr>
              <w:jc w:val="center"/>
              <w:ind w:right="1241"/>
              <w:spacing w:after="0"/>
              <w:rPr>
                <w:sz w:val="20"/>
                <w:szCs w:val="20"/>
                <w:color w:val="auto"/>
              </w:rPr>
            </w:pPr>
            <w:r>
              <w:rPr>
                <w:rFonts w:ascii="Arial" w:cs="Arial" w:eastAsia="Arial" w:hAnsi="Arial"/>
                <w:sz w:val="20"/>
                <w:szCs w:val="20"/>
                <w:color w:val="auto"/>
              </w:rPr>
              <w:t>ARTICLE II</w:t>
            </w:r>
          </w:p>
        </w:tc>
        <w:tc>
          <w:tcPr>
            <w:tcW w:w="860" w:type="dxa"/>
            <w:vAlign w:val="bottom"/>
          </w:tcPr>
          <w:p>
            <w:pPr>
              <w:spacing w:after="0"/>
              <w:rPr>
                <w:sz w:val="24"/>
                <w:szCs w:val="24"/>
                <w:color w:val="auto"/>
              </w:rPr>
            </w:pPr>
          </w:p>
        </w:tc>
      </w:tr>
      <w:tr>
        <w:trPr>
          <w:trHeight w:val="311"/>
        </w:trPr>
        <w:tc>
          <w:tcPr>
            <w:tcW w:w="1320" w:type="dxa"/>
            <w:vAlign w:val="bottom"/>
          </w:tcPr>
          <w:p>
            <w:pPr>
              <w:spacing w:after="0"/>
              <w:rPr>
                <w:sz w:val="24"/>
                <w:szCs w:val="24"/>
                <w:color w:val="auto"/>
              </w:rPr>
            </w:pPr>
          </w:p>
        </w:tc>
        <w:tc>
          <w:tcPr>
            <w:tcW w:w="9040" w:type="dxa"/>
            <w:vAlign w:val="bottom"/>
          </w:tcPr>
          <w:p>
            <w:pPr>
              <w:jc w:val="center"/>
              <w:ind w:right="1241"/>
              <w:spacing w:after="0"/>
              <w:rPr>
                <w:sz w:val="20"/>
                <w:szCs w:val="20"/>
                <w:color w:val="auto"/>
              </w:rPr>
            </w:pPr>
            <w:r>
              <w:rPr>
                <w:rFonts w:ascii="Arial" w:cs="Arial" w:eastAsia="Arial" w:hAnsi="Arial"/>
                <w:sz w:val="20"/>
                <w:szCs w:val="20"/>
                <w:color w:val="auto"/>
                <w:w w:val="92"/>
              </w:rPr>
              <w:t>THE SECURITIES</w:t>
            </w:r>
          </w:p>
        </w:tc>
        <w:tc>
          <w:tcPr>
            <w:tcW w:w="86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2.1</w:t>
            </w:r>
          </w:p>
        </w:tc>
        <w:tc>
          <w:tcPr>
            <w:tcW w:w="9040" w:type="dxa"/>
            <w:vAlign w:val="bottom"/>
          </w:tcPr>
          <w:p>
            <w:pPr>
              <w:ind w:left="320"/>
              <w:spacing w:after="0"/>
              <w:rPr>
                <w:sz w:val="20"/>
                <w:szCs w:val="20"/>
                <w:color w:val="auto"/>
              </w:rPr>
            </w:pPr>
            <w:r>
              <w:rPr>
                <w:rFonts w:ascii="Arial" w:cs="Arial" w:eastAsia="Arial" w:hAnsi="Arial"/>
                <w:sz w:val="20"/>
                <w:szCs w:val="20"/>
                <w:color w:val="auto"/>
              </w:rPr>
              <w:t>Issuable in Series.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5</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2.2</w:t>
            </w:r>
          </w:p>
        </w:tc>
        <w:tc>
          <w:tcPr>
            <w:tcW w:w="9040" w:type="dxa"/>
            <w:vAlign w:val="bottom"/>
          </w:tcPr>
          <w:p>
            <w:pPr>
              <w:ind w:left="320"/>
              <w:spacing w:after="0"/>
              <w:rPr>
                <w:sz w:val="20"/>
                <w:szCs w:val="20"/>
                <w:color w:val="auto"/>
              </w:rPr>
            </w:pPr>
            <w:r>
              <w:rPr>
                <w:rFonts w:ascii="Arial" w:cs="Arial" w:eastAsia="Arial" w:hAnsi="Arial"/>
                <w:sz w:val="20"/>
                <w:szCs w:val="20"/>
                <w:color w:val="auto"/>
              </w:rPr>
              <w:t>Establishment of Terms of Series of Securities.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6</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2.3</w:t>
            </w:r>
          </w:p>
        </w:tc>
        <w:tc>
          <w:tcPr>
            <w:tcW w:w="9040" w:type="dxa"/>
            <w:vAlign w:val="bottom"/>
          </w:tcPr>
          <w:p>
            <w:pPr>
              <w:ind w:left="320"/>
              <w:spacing w:after="0"/>
              <w:rPr>
                <w:sz w:val="20"/>
                <w:szCs w:val="20"/>
                <w:color w:val="auto"/>
              </w:rPr>
            </w:pPr>
            <w:r>
              <w:rPr>
                <w:rFonts w:ascii="Arial" w:cs="Arial" w:eastAsia="Arial" w:hAnsi="Arial"/>
                <w:sz w:val="20"/>
                <w:szCs w:val="20"/>
                <w:color w:val="auto"/>
              </w:rPr>
              <w:t>Execution and Authentication.</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8</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2.4</w:t>
            </w:r>
          </w:p>
        </w:tc>
        <w:tc>
          <w:tcPr>
            <w:tcW w:w="9040" w:type="dxa"/>
            <w:vAlign w:val="bottom"/>
          </w:tcPr>
          <w:p>
            <w:pPr>
              <w:ind w:left="320"/>
              <w:spacing w:after="0"/>
              <w:rPr>
                <w:sz w:val="20"/>
                <w:szCs w:val="20"/>
                <w:color w:val="auto"/>
              </w:rPr>
            </w:pPr>
            <w:r>
              <w:rPr>
                <w:rFonts w:ascii="Arial" w:cs="Arial" w:eastAsia="Arial" w:hAnsi="Arial"/>
                <w:sz w:val="20"/>
                <w:szCs w:val="20"/>
                <w:color w:val="auto"/>
              </w:rPr>
              <w:t>Registrar and Paying Agent.</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9</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2.5</w:t>
            </w:r>
          </w:p>
        </w:tc>
        <w:tc>
          <w:tcPr>
            <w:tcW w:w="9040" w:type="dxa"/>
            <w:vAlign w:val="bottom"/>
          </w:tcPr>
          <w:p>
            <w:pPr>
              <w:ind w:left="320"/>
              <w:spacing w:after="0"/>
              <w:rPr>
                <w:sz w:val="20"/>
                <w:szCs w:val="20"/>
                <w:color w:val="auto"/>
              </w:rPr>
            </w:pPr>
            <w:r>
              <w:rPr>
                <w:rFonts w:ascii="Arial" w:cs="Arial" w:eastAsia="Arial" w:hAnsi="Arial"/>
                <w:sz w:val="20"/>
                <w:szCs w:val="20"/>
                <w:color w:val="auto"/>
              </w:rPr>
              <w:t>Paying Agent to Hold Money in Trust.</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2.6</w:t>
            </w:r>
          </w:p>
        </w:tc>
        <w:tc>
          <w:tcPr>
            <w:tcW w:w="9040" w:type="dxa"/>
            <w:vAlign w:val="bottom"/>
          </w:tcPr>
          <w:p>
            <w:pPr>
              <w:ind w:left="320"/>
              <w:spacing w:after="0"/>
              <w:rPr>
                <w:sz w:val="20"/>
                <w:szCs w:val="20"/>
                <w:color w:val="auto"/>
              </w:rPr>
            </w:pPr>
            <w:r>
              <w:rPr>
                <w:rFonts w:ascii="Arial" w:cs="Arial" w:eastAsia="Arial" w:hAnsi="Arial"/>
                <w:sz w:val="20"/>
                <w:szCs w:val="20"/>
                <w:color w:val="auto"/>
              </w:rPr>
              <w:t>Securityholder Lists.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2.7</w:t>
            </w:r>
          </w:p>
        </w:tc>
        <w:tc>
          <w:tcPr>
            <w:tcW w:w="9040" w:type="dxa"/>
            <w:vAlign w:val="bottom"/>
          </w:tcPr>
          <w:p>
            <w:pPr>
              <w:ind w:left="320"/>
              <w:spacing w:after="0"/>
              <w:rPr>
                <w:sz w:val="20"/>
                <w:szCs w:val="20"/>
                <w:color w:val="auto"/>
              </w:rPr>
            </w:pPr>
            <w:r>
              <w:rPr>
                <w:rFonts w:ascii="Arial" w:cs="Arial" w:eastAsia="Arial" w:hAnsi="Arial"/>
                <w:sz w:val="20"/>
                <w:szCs w:val="20"/>
                <w:color w:val="auto"/>
              </w:rPr>
              <w:t>Transfer and Exchange.</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10</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2.8</w:t>
            </w:r>
          </w:p>
        </w:tc>
        <w:tc>
          <w:tcPr>
            <w:tcW w:w="9040" w:type="dxa"/>
            <w:vAlign w:val="bottom"/>
          </w:tcPr>
          <w:p>
            <w:pPr>
              <w:ind w:left="320"/>
              <w:spacing w:after="0"/>
              <w:rPr>
                <w:sz w:val="20"/>
                <w:szCs w:val="20"/>
                <w:color w:val="auto"/>
              </w:rPr>
            </w:pPr>
            <w:r>
              <w:rPr>
                <w:rFonts w:ascii="Arial" w:cs="Arial" w:eastAsia="Arial" w:hAnsi="Arial"/>
                <w:sz w:val="20"/>
                <w:szCs w:val="20"/>
                <w:color w:val="auto"/>
              </w:rPr>
              <w:t>Mutilated, Destroyed, Lost and Stolen Securities.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11</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2.9</w:t>
            </w:r>
          </w:p>
        </w:tc>
        <w:tc>
          <w:tcPr>
            <w:tcW w:w="9040" w:type="dxa"/>
            <w:vAlign w:val="bottom"/>
          </w:tcPr>
          <w:p>
            <w:pPr>
              <w:ind w:left="320"/>
              <w:spacing w:after="0"/>
              <w:rPr>
                <w:sz w:val="20"/>
                <w:szCs w:val="20"/>
                <w:color w:val="auto"/>
              </w:rPr>
            </w:pPr>
            <w:r>
              <w:rPr>
                <w:rFonts w:ascii="Arial" w:cs="Arial" w:eastAsia="Arial" w:hAnsi="Arial"/>
                <w:sz w:val="20"/>
                <w:szCs w:val="20"/>
                <w:color w:val="auto"/>
              </w:rPr>
              <w:t>Outstanding Securities.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11</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2.10</w:t>
            </w:r>
          </w:p>
        </w:tc>
        <w:tc>
          <w:tcPr>
            <w:tcW w:w="9040" w:type="dxa"/>
            <w:vAlign w:val="bottom"/>
          </w:tcPr>
          <w:p>
            <w:pPr>
              <w:ind w:left="320"/>
              <w:spacing w:after="0"/>
              <w:rPr>
                <w:sz w:val="20"/>
                <w:szCs w:val="20"/>
                <w:color w:val="auto"/>
              </w:rPr>
            </w:pPr>
            <w:r>
              <w:rPr>
                <w:rFonts w:ascii="Arial" w:cs="Arial" w:eastAsia="Arial" w:hAnsi="Arial"/>
                <w:sz w:val="20"/>
                <w:szCs w:val="20"/>
                <w:color w:val="auto"/>
              </w:rPr>
              <w:t>Treasury Securities.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12</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2.11</w:t>
            </w:r>
          </w:p>
        </w:tc>
        <w:tc>
          <w:tcPr>
            <w:tcW w:w="9040" w:type="dxa"/>
            <w:vAlign w:val="bottom"/>
          </w:tcPr>
          <w:p>
            <w:pPr>
              <w:ind w:left="320"/>
              <w:spacing w:after="0"/>
              <w:rPr>
                <w:sz w:val="20"/>
                <w:szCs w:val="20"/>
                <w:color w:val="auto"/>
              </w:rPr>
            </w:pPr>
            <w:r>
              <w:rPr>
                <w:rFonts w:ascii="Arial" w:cs="Arial" w:eastAsia="Arial" w:hAnsi="Arial"/>
                <w:sz w:val="20"/>
                <w:szCs w:val="20"/>
                <w:color w:val="auto"/>
              </w:rPr>
              <w:t>Temporary Securities.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12</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2.12</w:t>
            </w:r>
          </w:p>
        </w:tc>
        <w:tc>
          <w:tcPr>
            <w:tcW w:w="9040" w:type="dxa"/>
            <w:vAlign w:val="bottom"/>
          </w:tcPr>
          <w:p>
            <w:pPr>
              <w:ind w:left="320"/>
              <w:spacing w:after="0"/>
              <w:rPr>
                <w:sz w:val="20"/>
                <w:szCs w:val="20"/>
                <w:color w:val="auto"/>
              </w:rPr>
            </w:pPr>
            <w:r>
              <w:rPr>
                <w:rFonts w:ascii="Arial" w:cs="Arial" w:eastAsia="Arial" w:hAnsi="Arial"/>
                <w:sz w:val="20"/>
                <w:szCs w:val="20"/>
                <w:color w:val="auto"/>
              </w:rPr>
              <w:t>Cancellation.</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13</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2.13</w:t>
            </w:r>
          </w:p>
        </w:tc>
        <w:tc>
          <w:tcPr>
            <w:tcW w:w="9040" w:type="dxa"/>
            <w:vAlign w:val="bottom"/>
          </w:tcPr>
          <w:p>
            <w:pPr>
              <w:ind w:left="320"/>
              <w:spacing w:after="0"/>
              <w:rPr>
                <w:sz w:val="20"/>
                <w:szCs w:val="20"/>
                <w:color w:val="auto"/>
              </w:rPr>
            </w:pPr>
            <w:r>
              <w:rPr>
                <w:rFonts w:ascii="Arial" w:cs="Arial" w:eastAsia="Arial" w:hAnsi="Arial"/>
                <w:sz w:val="20"/>
                <w:szCs w:val="20"/>
                <w:color w:val="auto"/>
              </w:rPr>
              <w:t>Defaulted Interest.</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13</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2.14</w:t>
            </w:r>
          </w:p>
        </w:tc>
        <w:tc>
          <w:tcPr>
            <w:tcW w:w="9040" w:type="dxa"/>
            <w:vAlign w:val="bottom"/>
          </w:tcPr>
          <w:p>
            <w:pPr>
              <w:ind w:left="320"/>
              <w:spacing w:after="0"/>
              <w:rPr>
                <w:sz w:val="20"/>
                <w:szCs w:val="20"/>
                <w:color w:val="auto"/>
              </w:rPr>
            </w:pPr>
            <w:r>
              <w:rPr>
                <w:rFonts w:ascii="Arial" w:cs="Arial" w:eastAsia="Arial" w:hAnsi="Arial"/>
                <w:sz w:val="20"/>
                <w:szCs w:val="20"/>
                <w:color w:val="auto"/>
              </w:rPr>
              <w:t>Global Securities.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13</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2.15</w:t>
            </w:r>
          </w:p>
        </w:tc>
        <w:tc>
          <w:tcPr>
            <w:tcW w:w="9040" w:type="dxa"/>
            <w:vAlign w:val="bottom"/>
          </w:tcPr>
          <w:p>
            <w:pPr>
              <w:ind w:left="320"/>
              <w:spacing w:after="0"/>
              <w:rPr>
                <w:sz w:val="20"/>
                <w:szCs w:val="20"/>
                <w:color w:val="auto"/>
              </w:rPr>
            </w:pPr>
            <w:r>
              <w:rPr>
                <w:rFonts w:ascii="Arial" w:cs="Arial" w:eastAsia="Arial" w:hAnsi="Arial"/>
                <w:sz w:val="20"/>
                <w:szCs w:val="20"/>
                <w:color w:val="auto"/>
              </w:rPr>
              <w:t>CUSIP Numbers.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14</w:t>
            </w:r>
          </w:p>
        </w:tc>
      </w:tr>
      <w:tr>
        <w:trPr>
          <w:trHeight w:val="310"/>
        </w:trPr>
        <w:tc>
          <w:tcPr>
            <w:tcW w:w="1320" w:type="dxa"/>
            <w:vAlign w:val="bottom"/>
          </w:tcPr>
          <w:p>
            <w:pPr>
              <w:spacing w:after="0"/>
              <w:rPr>
                <w:sz w:val="24"/>
                <w:szCs w:val="24"/>
                <w:color w:val="auto"/>
              </w:rPr>
            </w:pPr>
          </w:p>
        </w:tc>
        <w:tc>
          <w:tcPr>
            <w:tcW w:w="9040" w:type="dxa"/>
            <w:vAlign w:val="bottom"/>
          </w:tcPr>
          <w:p>
            <w:pPr>
              <w:jc w:val="center"/>
              <w:ind w:right="1241"/>
              <w:spacing w:after="0"/>
              <w:rPr>
                <w:sz w:val="20"/>
                <w:szCs w:val="20"/>
                <w:color w:val="auto"/>
              </w:rPr>
            </w:pPr>
            <w:r>
              <w:rPr>
                <w:rFonts w:ascii="Arial" w:cs="Arial" w:eastAsia="Arial" w:hAnsi="Arial"/>
                <w:sz w:val="20"/>
                <w:szCs w:val="20"/>
                <w:color w:val="auto"/>
                <w:w w:val="99"/>
              </w:rPr>
              <w:t>ARTICLE III</w:t>
            </w:r>
          </w:p>
        </w:tc>
        <w:tc>
          <w:tcPr>
            <w:tcW w:w="860" w:type="dxa"/>
            <w:vAlign w:val="bottom"/>
          </w:tcPr>
          <w:p>
            <w:pPr>
              <w:spacing w:after="0"/>
              <w:rPr>
                <w:sz w:val="24"/>
                <w:szCs w:val="24"/>
                <w:color w:val="auto"/>
              </w:rPr>
            </w:pPr>
          </w:p>
        </w:tc>
      </w:tr>
      <w:tr>
        <w:trPr>
          <w:trHeight w:val="310"/>
        </w:trPr>
        <w:tc>
          <w:tcPr>
            <w:tcW w:w="1320" w:type="dxa"/>
            <w:vAlign w:val="bottom"/>
          </w:tcPr>
          <w:p>
            <w:pPr>
              <w:spacing w:after="0"/>
              <w:rPr>
                <w:sz w:val="24"/>
                <w:szCs w:val="24"/>
                <w:color w:val="auto"/>
              </w:rPr>
            </w:pPr>
          </w:p>
        </w:tc>
        <w:tc>
          <w:tcPr>
            <w:tcW w:w="9040" w:type="dxa"/>
            <w:vAlign w:val="bottom"/>
          </w:tcPr>
          <w:p>
            <w:pPr>
              <w:jc w:val="center"/>
              <w:ind w:right="1241"/>
              <w:spacing w:after="0"/>
              <w:rPr>
                <w:sz w:val="20"/>
                <w:szCs w:val="20"/>
                <w:color w:val="auto"/>
              </w:rPr>
            </w:pPr>
            <w:r>
              <w:rPr>
                <w:rFonts w:ascii="Arial" w:cs="Arial" w:eastAsia="Arial" w:hAnsi="Arial"/>
                <w:sz w:val="20"/>
                <w:szCs w:val="20"/>
                <w:color w:val="auto"/>
                <w:w w:val="94"/>
              </w:rPr>
              <w:t>REDEMPTION</w:t>
            </w:r>
          </w:p>
        </w:tc>
        <w:tc>
          <w:tcPr>
            <w:tcW w:w="86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3.1</w:t>
            </w:r>
          </w:p>
        </w:tc>
        <w:tc>
          <w:tcPr>
            <w:tcW w:w="9040" w:type="dxa"/>
            <w:vAlign w:val="bottom"/>
          </w:tcPr>
          <w:p>
            <w:pPr>
              <w:ind w:left="320"/>
              <w:spacing w:after="0"/>
              <w:rPr>
                <w:sz w:val="20"/>
                <w:szCs w:val="20"/>
                <w:color w:val="auto"/>
              </w:rPr>
            </w:pPr>
            <w:r>
              <w:rPr>
                <w:rFonts w:ascii="Arial" w:cs="Arial" w:eastAsia="Arial" w:hAnsi="Arial"/>
                <w:sz w:val="20"/>
                <w:szCs w:val="20"/>
                <w:color w:val="auto"/>
              </w:rPr>
              <w:t>Notice to Trustee.</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15</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3.2</w:t>
            </w:r>
          </w:p>
        </w:tc>
        <w:tc>
          <w:tcPr>
            <w:tcW w:w="9040" w:type="dxa"/>
            <w:vAlign w:val="bottom"/>
          </w:tcPr>
          <w:p>
            <w:pPr>
              <w:ind w:left="320"/>
              <w:spacing w:after="0"/>
              <w:rPr>
                <w:sz w:val="20"/>
                <w:szCs w:val="20"/>
                <w:color w:val="auto"/>
              </w:rPr>
            </w:pPr>
            <w:r>
              <w:rPr>
                <w:rFonts w:ascii="Arial" w:cs="Arial" w:eastAsia="Arial" w:hAnsi="Arial"/>
                <w:sz w:val="20"/>
                <w:szCs w:val="20"/>
                <w:color w:val="auto"/>
              </w:rPr>
              <w:t>Selection of Securities to be Redeemed.</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15</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3.3</w:t>
            </w:r>
          </w:p>
        </w:tc>
        <w:tc>
          <w:tcPr>
            <w:tcW w:w="9040" w:type="dxa"/>
            <w:vAlign w:val="bottom"/>
          </w:tcPr>
          <w:p>
            <w:pPr>
              <w:ind w:left="320"/>
              <w:spacing w:after="0"/>
              <w:rPr>
                <w:sz w:val="20"/>
                <w:szCs w:val="20"/>
                <w:color w:val="auto"/>
              </w:rPr>
            </w:pPr>
            <w:r>
              <w:rPr>
                <w:rFonts w:ascii="Arial" w:cs="Arial" w:eastAsia="Arial" w:hAnsi="Arial"/>
                <w:sz w:val="20"/>
                <w:szCs w:val="20"/>
                <w:color w:val="auto"/>
              </w:rPr>
              <w:t>Notice of Redemption.</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15</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3.4</w:t>
            </w:r>
          </w:p>
        </w:tc>
        <w:tc>
          <w:tcPr>
            <w:tcW w:w="9040" w:type="dxa"/>
            <w:vAlign w:val="bottom"/>
          </w:tcPr>
          <w:p>
            <w:pPr>
              <w:ind w:left="320"/>
              <w:spacing w:after="0"/>
              <w:rPr>
                <w:sz w:val="20"/>
                <w:szCs w:val="20"/>
                <w:color w:val="auto"/>
              </w:rPr>
            </w:pPr>
            <w:r>
              <w:rPr>
                <w:rFonts w:ascii="Arial" w:cs="Arial" w:eastAsia="Arial" w:hAnsi="Arial"/>
                <w:sz w:val="20"/>
                <w:szCs w:val="20"/>
                <w:color w:val="auto"/>
              </w:rPr>
              <w:t>Effect of Notice of Redemption.</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16</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3.5</w:t>
            </w:r>
          </w:p>
        </w:tc>
        <w:tc>
          <w:tcPr>
            <w:tcW w:w="9040" w:type="dxa"/>
            <w:vAlign w:val="bottom"/>
          </w:tcPr>
          <w:p>
            <w:pPr>
              <w:ind w:left="320"/>
              <w:spacing w:after="0"/>
              <w:rPr>
                <w:sz w:val="20"/>
                <w:szCs w:val="20"/>
                <w:color w:val="auto"/>
              </w:rPr>
            </w:pPr>
            <w:r>
              <w:rPr>
                <w:rFonts w:ascii="Arial" w:cs="Arial" w:eastAsia="Arial" w:hAnsi="Arial"/>
                <w:sz w:val="20"/>
                <w:szCs w:val="20"/>
                <w:color w:val="auto"/>
              </w:rPr>
              <w:t>Deposit of Redemption Price.</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17</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3.6</w:t>
            </w:r>
          </w:p>
        </w:tc>
        <w:tc>
          <w:tcPr>
            <w:tcW w:w="9040" w:type="dxa"/>
            <w:vAlign w:val="bottom"/>
          </w:tcPr>
          <w:p>
            <w:pPr>
              <w:ind w:left="320"/>
              <w:spacing w:after="0"/>
              <w:rPr>
                <w:sz w:val="20"/>
                <w:szCs w:val="20"/>
                <w:color w:val="auto"/>
              </w:rPr>
            </w:pPr>
            <w:r>
              <w:rPr>
                <w:rFonts w:ascii="Arial" w:cs="Arial" w:eastAsia="Arial" w:hAnsi="Arial"/>
                <w:sz w:val="20"/>
                <w:szCs w:val="20"/>
                <w:color w:val="auto"/>
              </w:rPr>
              <w:t>Securities Redeemed in Part.</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17</w:t>
            </w:r>
          </w:p>
        </w:tc>
      </w:tr>
      <w:tr>
        <w:trPr>
          <w:trHeight w:val="310"/>
        </w:trPr>
        <w:tc>
          <w:tcPr>
            <w:tcW w:w="1320" w:type="dxa"/>
            <w:vAlign w:val="bottom"/>
          </w:tcPr>
          <w:p>
            <w:pPr>
              <w:spacing w:after="0"/>
              <w:rPr>
                <w:sz w:val="24"/>
                <w:szCs w:val="24"/>
                <w:color w:val="auto"/>
              </w:rPr>
            </w:pPr>
          </w:p>
        </w:tc>
        <w:tc>
          <w:tcPr>
            <w:tcW w:w="9040" w:type="dxa"/>
            <w:vAlign w:val="bottom"/>
          </w:tcPr>
          <w:p>
            <w:pPr>
              <w:jc w:val="center"/>
              <w:ind w:right="1221"/>
              <w:spacing w:after="0"/>
              <w:rPr>
                <w:sz w:val="20"/>
                <w:szCs w:val="20"/>
                <w:color w:val="auto"/>
              </w:rPr>
            </w:pPr>
            <w:r>
              <w:rPr>
                <w:rFonts w:ascii="Arial" w:cs="Arial" w:eastAsia="Arial" w:hAnsi="Arial"/>
                <w:sz w:val="20"/>
                <w:szCs w:val="20"/>
                <w:color w:val="auto"/>
                <w:w w:val="99"/>
              </w:rPr>
              <w:t>ARTICLE IV</w:t>
            </w:r>
          </w:p>
        </w:tc>
        <w:tc>
          <w:tcPr>
            <w:tcW w:w="860" w:type="dxa"/>
            <w:vAlign w:val="bottom"/>
          </w:tcPr>
          <w:p>
            <w:pPr>
              <w:spacing w:after="0"/>
              <w:rPr>
                <w:sz w:val="24"/>
                <w:szCs w:val="24"/>
                <w:color w:val="auto"/>
              </w:rPr>
            </w:pPr>
          </w:p>
        </w:tc>
      </w:tr>
      <w:tr>
        <w:trPr>
          <w:trHeight w:val="310"/>
        </w:trPr>
        <w:tc>
          <w:tcPr>
            <w:tcW w:w="1320" w:type="dxa"/>
            <w:vAlign w:val="bottom"/>
          </w:tcPr>
          <w:p>
            <w:pPr>
              <w:spacing w:after="0"/>
              <w:rPr>
                <w:sz w:val="24"/>
                <w:szCs w:val="24"/>
                <w:color w:val="auto"/>
              </w:rPr>
            </w:pPr>
          </w:p>
        </w:tc>
        <w:tc>
          <w:tcPr>
            <w:tcW w:w="9040" w:type="dxa"/>
            <w:vAlign w:val="bottom"/>
          </w:tcPr>
          <w:p>
            <w:pPr>
              <w:jc w:val="center"/>
              <w:ind w:right="1221"/>
              <w:spacing w:after="0"/>
              <w:rPr>
                <w:sz w:val="20"/>
                <w:szCs w:val="20"/>
                <w:color w:val="auto"/>
              </w:rPr>
            </w:pPr>
            <w:r>
              <w:rPr>
                <w:rFonts w:ascii="Arial" w:cs="Arial" w:eastAsia="Arial" w:hAnsi="Arial"/>
                <w:sz w:val="20"/>
                <w:szCs w:val="20"/>
                <w:color w:val="auto"/>
                <w:w w:val="96"/>
              </w:rPr>
              <w:t>COVENANTS</w:t>
            </w:r>
          </w:p>
        </w:tc>
        <w:tc>
          <w:tcPr>
            <w:tcW w:w="860" w:type="dxa"/>
            <w:vAlign w:val="bottom"/>
          </w:tcPr>
          <w:p>
            <w:pPr>
              <w:spacing w:after="0"/>
              <w:rPr>
                <w:sz w:val="24"/>
                <w:szCs w:val="24"/>
                <w:color w:val="auto"/>
              </w:rPr>
            </w:pP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4.1</w:t>
            </w:r>
          </w:p>
        </w:tc>
        <w:tc>
          <w:tcPr>
            <w:tcW w:w="9040" w:type="dxa"/>
            <w:vAlign w:val="bottom"/>
          </w:tcPr>
          <w:p>
            <w:pPr>
              <w:ind w:left="320"/>
              <w:spacing w:after="0"/>
              <w:rPr>
                <w:sz w:val="20"/>
                <w:szCs w:val="20"/>
                <w:color w:val="auto"/>
              </w:rPr>
            </w:pPr>
            <w:r>
              <w:rPr>
                <w:rFonts w:ascii="Arial" w:cs="Arial" w:eastAsia="Arial" w:hAnsi="Arial"/>
                <w:sz w:val="20"/>
                <w:szCs w:val="20"/>
                <w:color w:val="auto"/>
              </w:rPr>
              <w:t>Payment of Principal and Interest.</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17</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4.2</w:t>
            </w:r>
          </w:p>
        </w:tc>
        <w:tc>
          <w:tcPr>
            <w:tcW w:w="9040" w:type="dxa"/>
            <w:vAlign w:val="bottom"/>
          </w:tcPr>
          <w:p>
            <w:pPr>
              <w:ind w:left="320"/>
              <w:spacing w:after="0"/>
              <w:rPr>
                <w:sz w:val="20"/>
                <w:szCs w:val="20"/>
                <w:color w:val="auto"/>
              </w:rPr>
            </w:pPr>
            <w:r>
              <w:rPr>
                <w:rFonts w:ascii="Arial" w:cs="Arial" w:eastAsia="Arial" w:hAnsi="Arial"/>
                <w:sz w:val="20"/>
                <w:szCs w:val="20"/>
                <w:color w:val="auto"/>
              </w:rPr>
              <w:t>SEC Reports.</w:t>
            </w:r>
          </w:p>
        </w:tc>
        <w:tc>
          <w:tcPr>
            <w:tcW w:w="860" w:type="dxa"/>
            <w:vAlign w:val="bottom"/>
          </w:tcPr>
          <w:p>
            <w:pPr>
              <w:jc w:val="right"/>
              <w:ind w:right="101"/>
              <w:spacing w:after="0"/>
              <w:rPr>
                <w:sz w:val="20"/>
                <w:szCs w:val="20"/>
                <w:color w:val="auto"/>
              </w:rPr>
            </w:pPr>
            <w:r>
              <w:rPr>
                <w:rFonts w:ascii="Arial" w:cs="Arial" w:eastAsia="Arial" w:hAnsi="Arial"/>
                <w:sz w:val="20"/>
                <w:szCs w:val="20"/>
                <w:color w:val="auto"/>
              </w:rPr>
              <w:t>17</w:t>
            </w:r>
          </w:p>
        </w:tc>
      </w:tr>
    </w:tbl>
    <w:p>
      <w:pPr>
        <w:spacing w:after="0" w:line="200" w:lineRule="exact"/>
        <w:rPr>
          <w:sz w:val="20"/>
          <w:szCs w:val="20"/>
          <w:color w:val="auto"/>
        </w:rPr>
      </w:pPr>
    </w:p>
    <w:p>
      <w:pPr>
        <w:sectPr>
          <w:pgSz w:w="11900" w:h="16838" w:orient="portrait"/>
          <w:cols w:equalWidth="0" w:num="1">
            <w:col w:w="11220"/>
          </w:cols>
          <w:pgMar w:left="34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422" w:right="339" w:bottom="1440" w:gutter="0" w:footer="0" w:header="0"/>
          <w:type w:val="continuous"/>
        </w:sectPr>
      </w:pPr>
    </w:p>
    <w:bookmarkStart w:id="53" w:name="page54"/>
    <w:bookmarkEnd w:id="5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0"/>
                <w:szCs w:val="20"/>
                <w:color w:val="auto"/>
              </w:rPr>
            </w:pPr>
            <w:r>
              <w:rPr>
                <w:rFonts w:ascii="Arial" w:cs="Arial" w:eastAsia="Arial" w:hAnsi="Arial"/>
                <w:sz w:val="20"/>
                <w:szCs w:val="20"/>
                <w:color w:val="auto"/>
              </w:rPr>
              <w:t>Section 4.3</w:t>
            </w:r>
          </w:p>
        </w:tc>
        <w:tc>
          <w:tcPr>
            <w:tcW w:w="7520" w:type="dxa"/>
            <w:vAlign w:val="bottom"/>
          </w:tcPr>
          <w:p>
            <w:pPr>
              <w:ind w:left="320"/>
              <w:spacing w:after="0"/>
              <w:rPr>
                <w:sz w:val="20"/>
                <w:szCs w:val="20"/>
                <w:color w:val="auto"/>
              </w:rPr>
            </w:pPr>
            <w:r>
              <w:rPr>
                <w:rFonts w:ascii="Arial" w:cs="Arial" w:eastAsia="Arial" w:hAnsi="Arial"/>
                <w:sz w:val="20"/>
                <w:szCs w:val="20"/>
                <w:color w:val="auto"/>
              </w:rPr>
              <w:t>Compliance Certificate.</w:t>
            </w:r>
          </w:p>
        </w:tc>
        <w:tc>
          <w:tcPr>
            <w:tcW w:w="2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4.4</w:t>
            </w:r>
          </w:p>
        </w:tc>
        <w:tc>
          <w:tcPr>
            <w:tcW w:w="7520" w:type="dxa"/>
            <w:vAlign w:val="bottom"/>
          </w:tcPr>
          <w:p>
            <w:pPr>
              <w:ind w:left="320"/>
              <w:spacing w:after="0"/>
              <w:rPr>
                <w:sz w:val="20"/>
                <w:szCs w:val="20"/>
                <w:color w:val="auto"/>
              </w:rPr>
            </w:pPr>
            <w:r>
              <w:rPr>
                <w:rFonts w:ascii="Arial" w:cs="Arial" w:eastAsia="Arial" w:hAnsi="Arial"/>
                <w:sz w:val="20"/>
                <w:szCs w:val="20"/>
                <w:color w:val="auto"/>
              </w:rPr>
              <w:t>Stay, Extension and Usury Laws.</w:t>
            </w:r>
          </w:p>
        </w:tc>
        <w:tc>
          <w:tcPr>
            <w:tcW w:w="2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4.5</w:t>
            </w:r>
          </w:p>
        </w:tc>
        <w:tc>
          <w:tcPr>
            <w:tcW w:w="7520" w:type="dxa"/>
            <w:vAlign w:val="bottom"/>
          </w:tcPr>
          <w:p>
            <w:pPr>
              <w:ind w:left="320"/>
              <w:spacing w:after="0"/>
              <w:rPr>
                <w:sz w:val="20"/>
                <w:szCs w:val="20"/>
                <w:color w:val="auto"/>
              </w:rPr>
            </w:pPr>
            <w:r>
              <w:rPr>
                <w:rFonts w:ascii="Arial" w:cs="Arial" w:eastAsia="Arial" w:hAnsi="Arial"/>
                <w:sz w:val="20"/>
                <w:szCs w:val="20"/>
                <w:color w:val="auto"/>
              </w:rPr>
              <w:t>Corporate Existence.</w:t>
            </w:r>
          </w:p>
        </w:tc>
        <w:tc>
          <w:tcPr>
            <w:tcW w:w="2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11"/>
        </w:trPr>
        <w:tc>
          <w:tcPr>
            <w:tcW w:w="1320" w:type="dxa"/>
            <w:vAlign w:val="bottom"/>
          </w:tcPr>
          <w:p>
            <w:pPr>
              <w:spacing w:after="0"/>
              <w:rPr>
                <w:sz w:val="24"/>
                <w:szCs w:val="24"/>
                <w:color w:val="auto"/>
              </w:rPr>
            </w:pPr>
          </w:p>
        </w:tc>
        <w:tc>
          <w:tcPr>
            <w:tcW w:w="7520" w:type="dxa"/>
            <w:vAlign w:val="bottom"/>
          </w:tcPr>
          <w:p>
            <w:pPr>
              <w:jc w:val="center"/>
              <w:ind w:left="81"/>
              <w:spacing w:after="0"/>
              <w:rPr>
                <w:sz w:val="20"/>
                <w:szCs w:val="20"/>
                <w:color w:val="auto"/>
              </w:rPr>
            </w:pPr>
            <w:r>
              <w:rPr>
                <w:rFonts w:ascii="Arial" w:cs="Arial" w:eastAsia="Arial" w:hAnsi="Arial"/>
                <w:sz w:val="20"/>
                <w:szCs w:val="20"/>
                <w:color w:val="auto"/>
                <w:w w:val="98"/>
              </w:rPr>
              <w:t>ARTICLE V</w:t>
            </w:r>
          </w:p>
        </w:tc>
        <w:tc>
          <w:tcPr>
            <w:tcW w:w="2180" w:type="dxa"/>
            <w:vAlign w:val="bottom"/>
          </w:tcPr>
          <w:p>
            <w:pPr>
              <w:spacing w:after="0"/>
              <w:rPr>
                <w:sz w:val="24"/>
                <w:szCs w:val="24"/>
                <w:color w:val="auto"/>
              </w:rPr>
            </w:pPr>
          </w:p>
        </w:tc>
      </w:tr>
      <w:tr>
        <w:trPr>
          <w:trHeight w:val="310"/>
        </w:trPr>
        <w:tc>
          <w:tcPr>
            <w:tcW w:w="1320" w:type="dxa"/>
            <w:vAlign w:val="bottom"/>
          </w:tcPr>
          <w:p>
            <w:pPr>
              <w:spacing w:after="0"/>
              <w:rPr>
                <w:sz w:val="24"/>
                <w:szCs w:val="24"/>
                <w:color w:val="auto"/>
              </w:rPr>
            </w:pPr>
          </w:p>
        </w:tc>
        <w:tc>
          <w:tcPr>
            <w:tcW w:w="7520" w:type="dxa"/>
            <w:vAlign w:val="bottom"/>
          </w:tcPr>
          <w:p>
            <w:pPr>
              <w:jc w:val="center"/>
              <w:ind w:left="101"/>
              <w:spacing w:after="0"/>
              <w:rPr>
                <w:sz w:val="20"/>
                <w:szCs w:val="20"/>
                <w:color w:val="auto"/>
              </w:rPr>
            </w:pPr>
            <w:r>
              <w:rPr>
                <w:rFonts w:ascii="Arial" w:cs="Arial" w:eastAsia="Arial" w:hAnsi="Arial"/>
                <w:sz w:val="20"/>
                <w:szCs w:val="20"/>
                <w:color w:val="auto"/>
                <w:w w:val="88"/>
              </w:rPr>
              <w:t>SUCCESSORS</w:t>
            </w:r>
          </w:p>
        </w:tc>
        <w:tc>
          <w:tcPr>
            <w:tcW w:w="2180" w:type="dxa"/>
            <w:vAlign w:val="bottom"/>
          </w:tcPr>
          <w:p>
            <w:pPr>
              <w:spacing w:after="0"/>
              <w:rPr>
                <w:sz w:val="24"/>
                <w:szCs w:val="24"/>
                <w:color w:val="auto"/>
              </w:rPr>
            </w:pP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5.1</w:t>
            </w:r>
          </w:p>
        </w:tc>
        <w:tc>
          <w:tcPr>
            <w:tcW w:w="7520" w:type="dxa"/>
            <w:vAlign w:val="bottom"/>
          </w:tcPr>
          <w:p>
            <w:pPr>
              <w:ind w:left="320"/>
              <w:spacing w:after="0"/>
              <w:rPr>
                <w:sz w:val="20"/>
                <w:szCs w:val="20"/>
                <w:color w:val="auto"/>
              </w:rPr>
            </w:pPr>
            <w:r>
              <w:rPr>
                <w:rFonts w:ascii="Arial" w:cs="Arial" w:eastAsia="Arial" w:hAnsi="Arial"/>
                <w:sz w:val="20"/>
                <w:szCs w:val="20"/>
                <w:color w:val="auto"/>
              </w:rPr>
              <w:t>When Company May Merge, Etc.</w:t>
            </w:r>
          </w:p>
        </w:tc>
        <w:tc>
          <w:tcPr>
            <w:tcW w:w="2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5.2</w:t>
            </w:r>
          </w:p>
        </w:tc>
        <w:tc>
          <w:tcPr>
            <w:tcW w:w="7520" w:type="dxa"/>
            <w:vAlign w:val="bottom"/>
          </w:tcPr>
          <w:p>
            <w:pPr>
              <w:ind w:left="320"/>
              <w:spacing w:after="0"/>
              <w:rPr>
                <w:sz w:val="20"/>
                <w:szCs w:val="20"/>
                <w:color w:val="auto"/>
              </w:rPr>
            </w:pPr>
            <w:r>
              <w:rPr>
                <w:rFonts w:ascii="Arial" w:cs="Arial" w:eastAsia="Arial" w:hAnsi="Arial"/>
                <w:sz w:val="20"/>
                <w:szCs w:val="20"/>
                <w:color w:val="auto"/>
              </w:rPr>
              <w:t>Successor Corporation Substituted.</w:t>
            </w:r>
          </w:p>
        </w:tc>
        <w:tc>
          <w:tcPr>
            <w:tcW w:w="2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11"/>
        </w:trPr>
        <w:tc>
          <w:tcPr>
            <w:tcW w:w="1320" w:type="dxa"/>
            <w:vAlign w:val="bottom"/>
          </w:tcPr>
          <w:p>
            <w:pPr>
              <w:spacing w:after="0"/>
              <w:rPr>
                <w:sz w:val="24"/>
                <w:szCs w:val="24"/>
                <w:color w:val="auto"/>
              </w:rPr>
            </w:pPr>
          </w:p>
        </w:tc>
        <w:tc>
          <w:tcPr>
            <w:tcW w:w="7520" w:type="dxa"/>
            <w:vAlign w:val="bottom"/>
          </w:tcPr>
          <w:p>
            <w:pPr>
              <w:jc w:val="center"/>
              <w:ind w:left="101"/>
              <w:spacing w:after="0"/>
              <w:rPr>
                <w:sz w:val="20"/>
                <w:szCs w:val="20"/>
                <w:color w:val="auto"/>
              </w:rPr>
            </w:pPr>
            <w:r>
              <w:rPr>
                <w:rFonts w:ascii="Arial" w:cs="Arial" w:eastAsia="Arial" w:hAnsi="Arial"/>
                <w:sz w:val="20"/>
                <w:szCs w:val="20"/>
                <w:color w:val="auto"/>
                <w:w w:val="99"/>
              </w:rPr>
              <w:t>ARTICLE VI</w:t>
            </w:r>
          </w:p>
        </w:tc>
        <w:tc>
          <w:tcPr>
            <w:tcW w:w="2180" w:type="dxa"/>
            <w:vAlign w:val="bottom"/>
          </w:tcPr>
          <w:p>
            <w:pPr>
              <w:spacing w:after="0"/>
              <w:rPr>
                <w:sz w:val="24"/>
                <w:szCs w:val="24"/>
                <w:color w:val="auto"/>
              </w:rPr>
            </w:pPr>
          </w:p>
        </w:tc>
      </w:tr>
      <w:tr>
        <w:trPr>
          <w:trHeight w:val="310"/>
        </w:trPr>
        <w:tc>
          <w:tcPr>
            <w:tcW w:w="1320" w:type="dxa"/>
            <w:vAlign w:val="bottom"/>
          </w:tcPr>
          <w:p>
            <w:pPr>
              <w:spacing w:after="0"/>
              <w:rPr>
                <w:sz w:val="24"/>
                <w:szCs w:val="24"/>
                <w:color w:val="auto"/>
              </w:rPr>
            </w:pPr>
          </w:p>
        </w:tc>
        <w:tc>
          <w:tcPr>
            <w:tcW w:w="7520" w:type="dxa"/>
            <w:vAlign w:val="bottom"/>
          </w:tcPr>
          <w:p>
            <w:pPr>
              <w:ind w:left="3040"/>
              <w:spacing w:after="0"/>
              <w:rPr>
                <w:sz w:val="20"/>
                <w:szCs w:val="20"/>
                <w:color w:val="auto"/>
              </w:rPr>
            </w:pPr>
            <w:r>
              <w:rPr>
                <w:rFonts w:ascii="Arial" w:cs="Arial" w:eastAsia="Arial" w:hAnsi="Arial"/>
                <w:sz w:val="20"/>
                <w:szCs w:val="20"/>
                <w:color w:val="auto"/>
              </w:rPr>
              <w:t>DEFAULTS AND REMEDIES</w:t>
            </w:r>
          </w:p>
        </w:tc>
        <w:tc>
          <w:tcPr>
            <w:tcW w:w="2180" w:type="dxa"/>
            <w:vAlign w:val="bottom"/>
          </w:tcPr>
          <w:p>
            <w:pPr>
              <w:spacing w:after="0"/>
              <w:rPr>
                <w:sz w:val="24"/>
                <w:szCs w:val="24"/>
                <w:color w:val="auto"/>
              </w:rPr>
            </w:pP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6.1</w:t>
            </w:r>
          </w:p>
        </w:tc>
        <w:tc>
          <w:tcPr>
            <w:tcW w:w="7520" w:type="dxa"/>
            <w:vAlign w:val="bottom"/>
          </w:tcPr>
          <w:p>
            <w:pPr>
              <w:ind w:left="320"/>
              <w:spacing w:after="0"/>
              <w:rPr>
                <w:sz w:val="20"/>
                <w:szCs w:val="20"/>
                <w:color w:val="auto"/>
              </w:rPr>
            </w:pPr>
            <w:r>
              <w:rPr>
                <w:rFonts w:ascii="Arial" w:cs="Arial" w:eastAsia="Arial" w:hAnsi="Arial"/>
                <w:sz w:val="20"/>
                <w:szCs w:val="20"/>
                <w:color w:val="auto"/>
              </w:rPr>
              <w:t>Events of Default.</w:t>
            </w:r>
          </w:p>
        </w:tc>
        <w:tc>
          <w:tcPr>
            <w:tcW w:w="2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6.2</w:t>
            </w:r>
          </w:p>
        </w:tc>
        <w:tc>
          <w:tcPr>
            <w:tcW w:w="7520" w:type="dxa"/>
            <w:vAlign w:val="bottom"/>
          </w:tcPr>
          <w:p>
            <w:pPr>
              <w:ind w:left="320"/>
              <w:spacing w:after="0"/>
              <w:rPr>
                <w:sz w:val="20"/>
                <w:szCs w:val="20"/>
                <w:color w:val="auto"/>
              </w:rPr>
            </w:pPr>
            <w:r>
              <w:rPr>
                <w:rFonts w:ascii="Arial" w:cs="Arial" w:eastAsia="Arial" w:hAnsi="Arial"/>
                <w:sz w:val="20"/>
                <w:szCs w:val="20"/>
                <w:color w:val="auto"/>
              </w:rPr>
              <w:t>Acceleration of Maturity; Rescission and Annulment.</w:t>
            </w:r>
          </w:p>
        </w:tc>
        <w:tc>
          <w:tcPr>
            <w:tcW w:w="2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6.3</w:t>
            </w:r>
          </w:p>
        </w:tc>
        <w:tc>
          <w:tcPr>
            <w:tcW w:w="7520" w:type="dxa"/>
            <w:vAlign w:val="bottom"/>
          </w:tcPr>
          <w:p>
            <w:pPr>
              <w:ind w:left="320"/>
              <w:spacing w:after="0"/>
              <w:rPr>
                <w:sz w:val="20"/>
                <w:szCs w:val="20"/>
                <w:color w:val="auto"/>
              </w:rPr>
            </w:pPr>
            <w:r>
              <w:rPr>
                <w:rFonts w:ascii="Arial" w:cs="Arial" w:eastAsia="Arial" w:hAnsi="Arial"/>
                <w:sz w:val="20"/>
                <w:szCs w:val="20"/>
                <w:color w:val="auto"/>
              </w:rPr>
              <w:t>Collection of Indebtedness and Suits for Enforcement by Trustee.</w:t>
            </w:r>
          </w:p>
        </w:tc>
        <w:tc>
          <w:tcPr>
            <w:tcW w:w="2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6.4</w:t>
            </w:r>
          </w:p>
        </w:tc>
        <w:tc>
          <w:tcPr>
            <w:tcW w:w="7520" w:type="dxa"/>
            <w:vAlign w:val="bottom"/>
          </w:tcPr>
          <w:p>
            <w:pPr>
              <w:ind w:left="320"/>
              <w:spacing w:after="0"/>
              <w:rPr>
                <w:sz w:val="20"/>
                <w:szCs w:val="20"/>
                <w:color w:val="auto"/>
              </w:rPr>
            </w:pPr>
            <w:r>
              <w:rPr>
                <w:rFonts w:ascii="Arial" w:cs="Arial" w:eastAsia="Arial" w:hAnsi="Arial"/>
                <w:sz w:val="20"/>
                <w:szCs w:val="20"/>
                <w:color w:val="auto"/>
              </w:rPr>
              <w:t>Trustee May File Proofs of Claim.</w:t>
            </w:r>
          </w:p>
        </w:tc>
        <w:tc>
          <w:tcPr>
            <w:tcW w:w="21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6.5</w:t>
            </w:r>
          </w:p>
        </w:tc>
        <w:tc>
          <w:tcPr>
            <w:tcW w:w="7520" w:type="dxa"/>
            <w:vAlign w:val="bottom"/>
          </w:tcPr>
          <w:p>
            <w:pPr>
              <w:ind w:left="320"/>
              <w:spacing w:after="0"/>
              <w:rPr>
                <w:sz w:val="20"/>
                <w:szCs w:val="20"/>
                <w:color w:val="auto"/>
              </w:rPr>
            </w:pPr>
            <w:r>
              <w:rPr>
                <w:rFonts w:ascii="Arial" w:cs="Arial" w:eastAsia="Arial" w:hAnsi="Arial"/>
                <w:sz w:val="20"/>
                <w:szCs w:val="20"/>
                <w:color w:val="auto"/>
              </w:rPr>
              <w:t>Trustee May Enforce Claims Without Possession of Securities.</w:t>
            </w:r>
          </w:p>
        </w:tc>
        <w:tc>
          <w:tcPr>
            <w:tcW w:w="2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6.6</w:t>
            </w:r>
          </w:p>
        </w:tc>
        <w:tc>
          <w:tcPr>
            <w:tcW w:w="7520" w:type="dxa"/>
            <w:vAlign w:val="bottom"/>
          </w:tcPr>
          <w:p>
            <w:pPr>
              <w:ind w:left="320"/>
              <w:spacing w:after="0"/>
              <w:rPr>
                <w:sz w:val="20"/>
                <w:szCs w:val="20"/>
                <w:color w:val="auto"/>
              </w:rPr>
            </w:pPr>
            <w:r>
              <w:rPr>
                <w:rFonts w:ascii="Arial" w:cs="Arial" w:eastAsia="Arial" w:hAnsi="Arial"/>
                <w:sz w:val="20"/>
                <w:szCs w:val="20"/>
                <w:color w:val="auto"/>
              </w:rPr>
              <w:t>Application of Money Collected.</w:t>
            </w:r>
          </w:p>
        </w:tc>
        <w:tc>
          <w:tcPr>
            <w:tcW w:w="2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6.7</w:t>
            </w:r>
          </w:p>
        </w:tc>
        <w:tc>
          <w:tcPr>
            <w:tcW w:w="7520" w:type="dxa"/>
            <w:vAlign w:val="bottom"/>
          </w:tcPr>
          <w:p>
            <w:pPr>
              <w:ind w:left="320"/>
              <w:spacing w:after="0"/>
              <w:rPr>
                <w:sz w:val="20"/>
                <w:szCs w:val="20"/>
                <w:color w:val="auto"/>
              </w:rPr>
            </w:pPr>
            <w:r>
              <w:rPr>
                <w:rFonts w:ascii="Arial" w:cs="Arial" w:eastAsia="Arial" w:hAnsi="Arial"/>
                <w:sz w:val="20"/>
                <w:szCs w:val="20"/>
                <w:color w:val="auto"/>
              </w:rPr>
              <w:t>Limitation on Suits.</w:t>
            </w:r>
          </w:p>
        </w:tc>
        <w:tc>
          <w:tcPr>
            <w:tcW w:w="2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6.8</w:t>
            </w:r>
          </w:p>
        </w:tc>
        <w:tc>
          <w:tcPr>
            <w:tcW w:w="7520" w:type="dxa"/>
            <w:vAlign w:val="bottom"/>
          </w:tcPr>
          <w:p>
            <w:pPr>
              <w:ind w:left="320"/>
              <w:spacing w:after="0"/>
              <w:rPr>
                <w:sz w:val="20"/>
                <w:szCs w:val="20"/>
                <w:color w:val="auto"/>
              </w:rPr>
            </w:pPr>
            <w:r>
              <w:rPr>
                <w:rFonts w:ascii="Arial" w:cs="Arial" w:eastAsia="Arial" w:hAnsi="Arial"/>
                <w:sz w:val="20"/>
                <w:szCs w:val="20"/>
                <w:color w:val="auto"/>
              </w:rPr>
              <w:t>Unconditional Right of Holders to Receive Principal and Interest.</w:t>
            </w:r>
          </w:p>
        </w:tc>
        <w:tc>
          <w:tcPr>
            <w:tcW w:w="21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6.9</w:t>
            </w:r>
          </w:p>
        </w:tc>
        <w:tc>
          <w:tcPr>
            <w:tcW w:w="7520" w:type="dxa"/>
            <w:vAlign w:val="bottom"/>
          </w:tcPr>
          <w:p>
            <w:pPr>
              <w:ind w:left="320"/>
              <w:spacing w:after="0"/>
              <w:rPr>
                <w:sz w:val="20"/>
                <w:szCs w:val="20"/>
                <w:color w:val="auto"/>
              </w:rPr>
            </w:pPr>
            <w:r>
              <w:rPr>
                <w:rFonts w:ascii="Arial" w:cs="Arial" w:eastAsia="Arial" w:hAnsi="Arial"/>
                <w:sz w:val="20"/>
                <w:szCs w:val="20"/>
                <w:color w:val="auto"/>
              </w:rPr>
              <w:t>Restoration of Rights and Remedies.</w:t>
            </w:r>
          </w:p>
        </w:tc>
        <w:tc>
          <w:tcPr>
            <w:tcW w:w="21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6.10</w:t>
            </w:r>
          </w:p>
        </w:tc>
        <w:tc>
          <w:tcPr>
            <w:tcW w:w="7520" w:type="dxa"/>
            <w:vAlign w:val="bottom"/>
          </w:tcPr>
          <w:p>
            <w:pPr>
              <w:ind w:left="320"/>
              <w:spacing w:after="0"/>
              <w:rPr>
                <w:sz w:val="20"/>
                <w:szCs w:val="20"/>
                <w:color w:val="auto"/>
              </w:rPr>
            </w:pPr>
            <w:r>
              <w:rPr>
                <w:rFonts w:ascii="Arial" w:cs="Arial" w:eastAsia="Arial" w:hAnsi="Arial"/>
                <w:sz w:val="20"/>
                <w:szCs w:val="20"/>
                <w:color w:val="auto"/>
              </w:rPr>
              <w:t>Rights and Remedies Cumulative.</w:t>
            </w:r>
          </w:p>
        </w:tc>
        <w:tc>
          <w:tcPr>
            <w:tcW w:w="21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6.11</w:t>
            </w:r>
          </w:p>
        </w:tc>
        <w:tc>
          <w:tcPr>
            <w:tcW w:w="7520" w:type="dxa"/>
            <w:vAlign w:val="bottom"/>
          </w:tcPr>
          <w:p>
            <w:pPr>
              <w:ind w:left="320"/>
              <w:spacing w:after="0"/>
              <w:rPr>
                <w:sz w:val="20"/>
                <w:szCs w:val="20"/>
                <w:color w:val="auto"/>
              </w:rPr>
            </w:pPr>
            <w:r>
              <w:rPr>
                <w:rFonts w:ascii="Arial" w:cs="Arial" w:eastAsia="Arial" w:hAnsi="Arial"/>
                <w:sz w:val="20"/>
                <w:szCs w:val="20"/>
                <w:color w:val="auto"/>
              </w:rPr>
              <w:t>Delay or Omission Not Waiver.</w:t>
            </w:r>
          </w:p>
        </w:tc>
        <w:tc>
          <w:tcPr>
            <w:tcW w:w="2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6.12</w:t>
            </w:r>
          </w:p>
        </w:tc>
        <w:tc>
          <w:tcPr>
            <w:tcW w:w="7520" w:type="dxa"/>
            <w:vAlign w:val="bottom"/>
          </w:tcPr>
          <w:p>
            <w:pPr>
              <w:ind w:left="320"/>
              <w:spacing w:after="0"/>
              <w:rPr>
                <w:sz w:val="20"/>
                <w:szCs w:val="20"/>
                <w:color w:val="auto"/>
              </w:rPr>
            </w:pPr>
            <w:r>
              <w:rPr>
                <w:rFonts w:ascii="Arial" w:cs="Arial" w:eastAsia="Arial" w:hAnsi="Arial"/>
                <w:sz w:val="20"/>
                <w:szCs w:val="20"/>
                <w:color w:val="auto"/>
              </w:rPr>
              <w:t>Control by Holders.</w:t>
            </w:r>
          </w:p>
        </w:tc>
        <w:tc>
          <w:tcPr>
            <w:tcW w:w="2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6.13</w:t>
            </w:r>
          </w:p>
        </w:tc>
        <w:tc>
          <w:tcPr>
            <w:tcW w:w="7520" w:type="dxa"/>
            <w:vAlign w:val="bottom"/>
          </w:tcPr>
          <w:p>
            <w:pPr>
              <w:ind w:left="320"/>
              <w:spacing w:after="0"/>
              <w:rPr>
                <w:sz w:val="20"/>
                <w:szCs w:val="20"/>
                <w:color w:val="auto"/>
              </w:rPr>
            </w:pPr>
            <w:r>
              <w:rPr>
                <w:rFonts w:ascii="Arial" w:cs="Arial" w:eastAsia="Arial" w:hAnsi="Arial"/>
                <w:sz w:val="20"/>
                <w:szCs w:val="20"/>
                <w:color w:val="auto"/>
              </w:rPr>
              <w:t>Waiver of Past Defaults.</w:t>
            </w:r>
          </w:p>
        </w:tc>
        <w:tc>
          <w:tcPr>
            <w:tcW w:w="2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6.14</w:t>
            </w:r>
          </w:p>
        </w:tc>
        <w:tc>
          <w:tcPr>
            <w:tcW w:w="7520" w:type="dxa"/>
            <w:vAlign w:val="bottom"/>
          </w:tcPr>
          <w:p>
            <w:pPr>
              <w:ind w:left="320"/>
              <w:spacing w:after="0"/>
              <w:rPr>
                <w:sz w:val="20"/>
                <w:szCs w:val="20"/>
                <w:color w:val="auto"/>
              </w:rPr>
            </w:pPr>
            <w:r>
              <w:rPr>
                <w:rFonts w:ascii="Arial" w:cs="Arial" w:eastAsia="Arial" w:hAnsi="Arial"/>
                <w:sz w:val="20"/>
                <w:szCs w:val="20"/>
                <w:color w:val="auto"/>
              </w:rPr>
              <w:t>Undertaking for Costs.</w:t>
            </w:r>
          </w:p>
        </w:tc>
        <w:tc>
          <w:tcPr>
            <w:tcW w:w="2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10"/>
        </w:trPr>
        <w:tc>
          <w:tcPr>
            <w:tcW w:w="1320" w:type="dxa"/>
            <w:vAlign w:val="bottom"/>
          </w:tcPr>
          <w:p>
            <w:pPr>
              <w:spacing w:after="0"/>
              <w:rPr>
                <w:sz w:val="24"/>
                <w:szCs w:val="24"/>
                <w:color w:val="auto"/>
              </w:rPr>
            </w:pPr>
          </w:p>
        </w:tc>
        <w:tc>
          <w:tcPr>
            <w:tcW w:w="7520" w:type="dxa"/>
            <w:vAlign w:val="bottom"/>
          </w:tcPr>
          <w:p>
            <w:pPr>
              <w:jc w:val="center"/>
              <w:ind w:left="81"/>
              <w:spacing w:after="0"/>
              <w:rPr>
                <w:sz w:val="20"/>
                <w:szCs w:val="20"/>
                <w:color w:val="auto"/>
              </w:rPr>
            </w:pPr>
            <w:r>
              <w:rPr>
                <w:rFonts w:ascii="Arial" w:cs="Arial" w:eastAsia="Arial" w:hAnsi="Arial"/>
                <w:sz w:val="20"/>
                <w:szCs w:val="20"/>
                <w:color w:val="auto"/>
                <w:w w:val="99"/>
              </w:rPr>
              <w:t>ARTICLE VII</w:t>
            </w:r>
          </w:p>
        </w:tc>
        <w:tc>
          <w:tcPr>
            <w:tcW w:w="2180" w:type="dxa"/>
            <w:vAlign w:val="bottom"/>
          </w:tcPr>
          <w:p>
            <w:pPr>
              <w:spacing w:after="0"/>
              <w:rPr>
                <w:sz w:val="24"/>
                <w:szCs w:val="24"/>
                <w:color w:val="auto"/>
              </w:rPr>
            </w:pPr>
          </w:p>
        </w:tc>
      </w:tr>
      <w:tr>
        <w:trPr>
          <w:trHeight w:val="310"/>
        </w:trPr>
        <w:tc>
          <w:tcPr>
            <w:tcW w:w="1320" w:type="dxa"/>
            <w:vAlign w:val="bottom"/>
          </w:tcPr>
          <w:p>
            <w:pPr>
              <w:spacing w:after="0"/>
              <w:rPr>
                <w:sz w:val="24"/>
                <w:szCs w:val="24"/>
                <w:color w:val="auto"/>
              </w:rPr>
            </w:pPr>
          </w:p>
        </w:tc>
        <w:tc>
          <w:tcPr>
            <w:tcW w:w="7520" w:type="dxa"/>
            <w:vAlign w:val="bottom"/>
          </w:tcPr>
          <w:p>
            <w:pPr>
              <w:jc w:val="center"/>
              <w:ind w:left="81"/>
              <w:spacing w:after="0"/>
              <w:rPr>
                <w:sz w:val="20"/>
                <w:szCs w:val="20"/>
                <w:color w:val="auto"/>
              </w:rPr>
            </w:pPr>
            <w:r>
              <w:rPr>
                <w:rFonts w:ascii="Arial" w:cs="Arial" w:eastAsia="Arial" w:hAnsi="Arial"/>
                <w:sz w:val="20"/>
                <w:szCs w:val="20"/>
                <w:color w:val="auto"/>
                <w:w w:val="92"/>
              </w:rPr>
              <w:t>TRUSTEE</w:t>
            </w:r>
          </w:p>
        </w:tc>
        <w:tc>
          <w:tcPr>
            <w:tcW w:w="218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7.1</w:t>
            </w:r>
          </w:p>
        </w:tc>
        <w:tc>
          <w:tcPr>
            <w:tcW w:w="7520" w:type="dxa"/>
            <w:vAlign w:val="bottom"/>
          </w:tcPr>
          <w:p>
            <w:pPr>
              <w:ind w:left="320"/>
              <w:spacing w:after="0"/>
              <w:rPr>
                <w:sz w:val="20"/>
                <w:szCs w:val="20"/>
                <w:color w:val="auto"/>
              </w:rPr>
            </w:pPr>
            <w:r>
              <w:rPr>
                <w:rFonts w:ascii="Arial" w:cs="Arial" w:eastAsia="Arial" w:hAnsi="Arial"/>
                <w:sz w:val="20"/>
                <w:szCs w:val="20"/>
                <w:color w:val="auto"/>
              </w:rPr>
              <w:t>Duties of Trustee.</w:t>
            </w:r>
          </w:p>
        </w:tc>
        <w:tc>
          <w:tcPr>
            <w:tcW w:w="2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7.2</w:t>
            </w:r>
          </w:p>
        </w:tc>
        <w:tc>
          <w:tcPr>
            <w:tcW w:w="7520" w:type="dxa"/>
            <w:vAlign w:val="bottom"/>
          </w:tcPr>
          <w:p>
            <w:pPr>
              <w:ind w:left="320"/>
              <w:spacing w:after="0"/>
              <w:rPr>
                <w:sz w:val="20"/>
                <w:szCs w:val="20"/>
                <w:color w:val="auto"/>
              </w:rPr>
            </w:pPr>
            <w:r>
              <w:rPr>
                <w:rFonts w:ascii="Arial" w:cs="Arial" w:eastAsia="Arial" w:hAnsi="Arial"/>
                <w:sz w:val="20"/>
                <w:szCs w:val="20"/>
                <w:color w:val="auto"/>
              </w:rPr>
              <w:t>Rights of Trustee.</w:t>
            </w:r>
          </w:p>
        </w:tc>
        <w:tc>
          <w:tcPr>
            <w:tcW w:w="2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7.3</w:t>
            </w:r>
          </w:p>
        </w:tc>
        <w:tc>
          <w:tcPr>
            <w:tcW w:w="7520" w:type="dxa"/>
            <w:vAlign w:val="bottom"/>
          </w:tcPr>
          <w:p>
            <w:pPr>
              <w:ind w:left="320"/>
              <w:spacing w:after="0"/>
              <w:rPr>
                <w:sz w:val="20"/>
                <w:szCs w:val="20"/>
                <w:color w:val="auto"/>
              </w:rPr>
            </w:pPr>
            <w:r>
              <w:rPr>
                <w:rFonts w:ascii="Arial" w:cs="Arial" w:eastAsia="Arial" w:hAnsi="Arial"/>
                <w:sz w:val="20"/>
                <w:szCs w:val="20"/>
                <w:color w:val="auto"/>
              </w:rPr>
              <w:t>Individual Rights of Trustee.</w:t>
            </w:r>
          </w:p>
        </w:tc>
        <w:tc>
          <w:tcPr>
            <w:tcW w:w="2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7.4</w:t>
            </w:r>
          </w:p>
        </w:tc>
        <w:tc>
          <w:tcPr>
            <w:tcW w:w="7520" w:type="dxa"/>
            <w:vAlign w:val="bottom"/>
          </w:tcPr>
          <w:p>
            <w:pPr>
              <w:ind w:left="320"/>
              <w:spacing w:after="0"/>
              <w:rPr>
                <w:sz w:val="20"/>
                <w:szCs w:val="20"/>
                <w:color w:val="auto"/>
              </w:rPr>
            </w:pPr>
            <w:r>
              <w:rPr>
                <w:rFonts w:ascii="Arial" w:cs="Arial" w:eastAsia="Arial" w:hAnsi="Arial"/>
                <w:sz w:val="20"/>
                <w:szCs w:val="20"/>
                <w:color w:val="auto"/>
              </w:rPr>
              <w:t>Trustee’s Disclaimer.</w:t>
            </w:r>
          </w:p>
        </w:tc>
        <w:tc>
          <w:tcPr>
            <w:tcW w:w="2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7.5</w:t>
            </w:r>
          </w:p>
        </w:tc>
        <w:tc>
          <w:tcPr>
            <w:tcW w:w="7520" w:type="dxa"/>
            <w:vAlign w:val="bottom"/>
          </w:tcPr>
          <w:p>
            <w:pPr>
              <w:ind w:left="320"/>
              <w:spacing w:after="0"/>
              <w:rPr>
                <w:sz w:val="20"/>
                <w:szCs w:val="20"/>
                <w:color w:val="auto"/>
              </w:rPr>
            </w:pPr>
            <w:r>
              <w:rPr>
                <w:rFonts w:ascii="Arial" w:cs="Arial" w:eastAsia="Arial" w:hAnsi="Arial"/>
                <w:sz w:val="20"/>
                <w:szCs w:val="20"/>
                <w:color w:val="auto"/>
              </w:rPr>
              <w:t>Notice of Defaults.</w:t>
            </w:r>
          </w:p>
        </w:tc>
        <w:tc>
          <w:tcPr>
            <w:tcW w:w="2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7.6</w:t>
            </w:r>
          </w:p>
        </w:tc>
        <w:tc>
          <w:tcPr>
            <w:tcW w:w="7520" w:type="dxa"/>
            <w:vAlign w:val="bottom"/>
          </w:tcPr>
          <w:p>
            <w:pPr>
              <w:ind w:left="320"/>
              <w:spacing w:after="0"/>
              <w:rPr>
                <w:sz w:val="20"/>
                <w:szCs w:val="20"/>
                <w:color w:val="auto"/>
              </w:rPr>
            </w:pPr>
            <w:r>
              <w:rPr>
                <w:rFonts w:ascii="Arial" w:cs="Arial" w:eastAsia="Arial" w:hAnsi="Arial"/>
                <w:sz w:val="20"/>
                <w:szCs w:val="20"/>
                <w:color w:val="auto"/>
              </w:rPr>
              <w:t>Reports by Trustee to Holders.</w:t>
            </w:r>
          </w:p>
        </w:tc>
        <w:tc>
          <w:tcPr>
            <w:tcW w:w="2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7.7</w:t>
            </w:r>
          </w:p>
        </w:tc>
        <w:tc>
          <w:tcPr>
            <w:tcW w:w="7520" w:type="dxa"/>
            <w:vAlign w:val="bottom"/>
          </w:tcPr>
          <w:p>
            <w:pPr>
              <w:ind w:left="320"/>
              <w:spacing w:after="0"/>
              <w:rPr>
                <w:sz w:val="20"/>
                <w:szCs w:val="20"/>
                <w:color w:val="auto"/>
              </w:rPr>
            </w:pPr>
            <w:r>
              <w:rPr>
                <w:rFonts w:ascii="Arial" w:cs="Arial" w:eastAsia="Arial" w:hAnsi="Arial"/>
                <w:sz w:val="20"/>
                <w:szCs w:val="20"/>
                <w:color w:val="auto"/>
              </w:rPr>
              <w:t>Compensation and Indemnity.</w:t>
            </w:r>
          </w:p>
        </w:tc>
        <w:tc>
          <w:tcPr>
            <w:tcW w:w="2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7.8</w:t>
            </w:r>
          </w:p>
        </w:tc>
        <w:tc>
          <w:tcPr>
            <w:tcW w:w="7520" w:type="dxa"/>
            <w:vAlign w:val="bottom"/>
          </w:tcPr>
          <w:p>
            <w:pPr>
              <w:ind w:left="320"/>
              <w:spacing w:after="0"/>
              <w:rPr>
                <w:sz w:val="20"/>
                <w:szCs w:val="20"/>
                <w:color w:val="auto"/>
              </w:rPr>
            </w:pPr>
            <w:r>
              <w:rPr>
                <w:rFonts w:ascii="Arial" w:cs="Arial" w:eastAsia="Arial" w:hAnsi="Arial"/>
                <w:sz w:val="20"/>
                <w:szCs w:val="20"/>
                <w:color w:val="auto"/>
              </w:rPr>
              <w:t>Replacement of Trustee.</w:t>
            </w:r>
          </w:p>
        </w:tc>
        <w:tc>
          <w:tcPr>
            <w:tcW w:w="21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7.9</w:t>
            </w:r>
          </w:p>
        </w:tc>
        <w:tc>
          <w:tcPr>
            <w:tcW w:w="7520" w:type="dxa"/>
            <w:vAlign w:val="bottom"/>
          </w:tcPr>
          <w:p>
            <w:pPr>
              <w:ind w:left="320"/>
              <w:spacing w:after="0"/>
              <w:rPr>
                <w:sz w:val="20"/>
                <w:szCs w:val="20"/>
                <w:color w:val="auto"/>
              </w:rPr>
            </w:pPr>
            <w:r>
              <w:rPr>
                <w:rFonts w:ascii="Arial" w:cs="Arial" w:eastAsia="Arial" w:hAnsi="Arial"/>
                <w:sz w:val="20"/>
                <w:szCs w:val="20"/>
                <w:color w:val="auto"/>
              </w:rPr>
              <w:t>Successor Trustee by Merger, Etc.</w:t>
            </w:r>
          </w:p>
        </w:tc>
        <w:tc>
          <w:tcPr>
            <w:tcW w:w="2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7.10</w:t>
            </w:r>
          </w:p>
        </w:tc>
        <w:tc>
          <w:tcPr>
            <w:tcW w:w="7520" w:type="dxa"/>
            <w:vAlign w:val="bottom"/>
          </w:tcPr>
          <w:p>
            <w:pPr>
              <w:ind w:left="320"/>
              <w:spacing w:after="0"/>
              <w:rPr>
                <w:sz w:val="20"/>
                <w:szCs w:val="20"/>
                <w:color w:val="auto"/>
              </w:rPr>
            </w:pPr>
            <w:r>
              <w:rPr>
                <w:rFonts w:ascii="Arial" w:cs="Arial" w:eastAsia="Arial" w:hAnsi="Arial"/>
                <w:sz w:val="20"/>
                <w:szCs w:val="20"/>
                <w:color w:val="auto"/>
              </w:rPr>
              <w:t>Eligibility; Disqualification.</w:t>
            </w:r>
          </w:p>
        </w:tc>
        <w:tc>
          <w:tcPr>
            <w:tcW w:w="21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7.11</w:t>
            </w:r>
          </w:p>
        </w:tc>
        <w:tc>
          <w:tcPr>
            <w:tcW w:w="7520" w:type="dxa"/>
            <w:vAlign w:val="bottom"/>
          </w:tcPr>
          <w:p>
            <w:pPr>
              <w:ind w:left="320"/>
              <w:spacing w:after="0"/>
              <w:rPr>
                <w:sz w:val="20"/>
                <w:szCs w:val="20"/>
                <w:color w:val="auto"/>
              </w:rPr>
            </w:pPr>
            <w:r>
              <w:rPr>
                <w:rFonts w:ascii="Arial" w:cs="Arial" w:eastAsia="Arial" w:hAnsi="Arial"/>
                <w:sz w:val="20"/>
                <w:szCs w:val="20"/>
                <w:color w:val="auto"/>
              </w:rPr>
              <w:t>Preferential Collection of Claims Against Company.</w:t>
            </w:r>
          </w:p>
        </w:tc>
        <w:tc>
          <w:tcPr>
            <w:tcW w:w="2180" w:type="dxa"/>
            <w:vAlign w:val="bottom"/>
          </w:tcPr>
          <w:p>
            <w:pPr>
              <w:jc w:val="right"/>
              <w:spacing w:after="0"/>
              <w:rPr>
                <w:sz w:val="20"/>
                <w:szCs w:val="20"/>
                <w:color w:val="auto"/>
              </w:rPr>
            </w:pPr>
            <w:r>
              <w:rPr>
                <w:rFonts w:ascii="Arial" w:cs="Arial" w:eastAsia="Arial" w:hAnsi="Arial"/>
                <w:sz w:val="20"/>
                <w:szCs w:val="20"/>
                <w:color w:val="auto"/>
              </w:rPr>
              <w:t>31</w:t>
            </w:r>
          </w:p>
        </w:tc>
      </w:tr>
    </w:tbl>
    <w:p>
      <w:pPr>
        <w:spacing w:after="0" w:line="200" w:lineRule="exact"/>
        <w:rPr>
          <w:sz w:val="20"/>
          <w:szCs w:val="20"/>
          <w:color w:val="auto"/>
        </w:rPr>
      </w:pPr>
    </w:p>
    <w:p>
      <w:pPr>
        <w:sectPr>
          <w:pgSz w:w="11900" w:h="16838" w:orient="portrait"/>
          <w:cols w:equalWidth="0" w:num="1">
            <w:col w:w="11020"/>
          </w:cols>
          <w:pgMar w:left="34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020"/>
          </w:cols>
          <w:pgMar w:left="340" w:top="1440" w:right="539" w:bottom="1440" w:gutter="0" w:footer="0" w:header="0"/>
          <w:type w:val="continuous"/>
        </w:sectPr>
      </w:pPr>
    </w:p>
    <w:bookmarkStart w:id="54" w:name="page55"/>
    <w:bookmarkEnd w:id="54"/>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60" w:type="dxa"/>
            <w:vAlign w:val="bottom"/>
          </w:tcPr>
          <w:p>
            <w:pPr>
              <w:spacing w:after="0"/>
              <w:rPr>
                <w:sz w:val="21"/>
                <w:szCs w:val="21"/>
                <w:color w:val="auto"/>
              </w:rPr>
            </w:pPr>
          </w:p>
        </w:tc>
        <w:tc>
          <w:tcPr>
            <w:tcW w:w="7960" w:type="dxa"/>
            <w:vAlign w:val="bottom"/>
          </w:tcPr>
          <w:p>
            <w:pPr>
              <w:jc w:val="center"/>
              <w:ind w:right="241"/>
              <w:spacing w:after="0"/>
              <w:rPr>
                <w:sz w:val="20"/>
                <w:szCs w:val="20"/>
                <w:color w:val="auto"/>
              </w:rPr>
            </w:pPr>
            <w:r>
              <w:rPr>
                <w:rFonts w:ascii="Arial" w:cs="Arial" w:eastAsia="Arial" w:hAnsi="Arial"/>
                <w:sz w:val="20"/>
                <w:szCs w:val="20"/>
                <w:color w:val="auto"/>
              </w:rPr>
              <w:t>ARTICLE VIII</w:t>
            </w:r>
          </w:p>
        </w:tc>
        <w:tc>
          <w:tcPr>
            <w:tcW w:w="1700" w:type="dxa"/>
            <w:vAlign w:val="bottom"/>
          </w:tcPr>
          <w:p>
            <w:pPr>
              <w:spacing w:after="0"/>
              <w:rPr>
                <w:sz w:val="21"/>
                <w:szCs w:val="21"/>
                <w:color w:val="auto"/>
              </w:rPr>
            </w:pPr>
          </w:p>
        </w:tc>
      </w:tr>
      <w:tr>
        <w:trPr>
          <w:trHeight w:val="310"/>
        </w:trPr>
        <w:tc>
          <w:tcPr>
            <w:tcW w:w="1360" w:type="dxa"/>
            <w:vAlign w:val="bottom"/>
          </w:tcPr>
          <w:p>
            <w:pPr>
              <w:spacing w:after="0"/>
              <w:rPr>
                <w:sz w:val="24"/>
                <w:szCs w:val="24"/>
                <w:color w:val="auto"/>
              </w:rPr>
            </w:pPr>
          </w:p>
        </w:tc>
        <w:tc>
          <w:tcPr>
            <w:tcW w:w="7960" w:type="dxa"/>
            <w:vAlign w:val="bottom"/>
          </w:tcPr>
          <w:p>
            <w:pPr>
              <w:ind w:left="2040"/>
              <w:spacing w:after="0"/>
              <w:rPr>
                <w:sz w:val="20"/>
                <w:szCs w:val="20"/>
                <w:color w:val="auto"/>
              </w:rPr>
            </w:pPr>
            <w:r>
              <w:rPr>
                <w:rFonts w:ascii="Arial" w:cs="Arial" w:eastAsia="Arial" w:hAnsi="Arial"/>
                <w:sz w:val="20"/>
                <w:szCs w:val="20"/>
                <w:color w:val="auto"/>
              </w:rPr>
              <w:t>SATISFACTION AND DISCHARGE; DEFEASANCE</w:t>
            </w:r>
          </w:p>
        </w:tc>
        <w:tc>
          <w:tcPr>
            <w:tcW w:w="1700" w:type="dxa"/>
            <w:vAlign w:val="bottom"/>
          </w:tcPr>
          <w:p>
            <w:pPr>
              <w:spacing w:after="0"/>
              <w:rPr>
                <w:sz w:val="24"/>
                <w:szCs w:val="24"/>
                <w:color w:val="auto"/>
              </w:rPr>
            </w:pP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8.1</w:t>
            </w:r>
          </w:p>
        </w:tc>
        <w:tc>
          <w:tcPr>
            <w:tcW w:w="7960" w:type="dxa"/>
            <w:vAlign w:val="bottom"/>
          </w:tcPr>
          <w:p>
            <w:pPr>
              <w:ind w:left="280"/>
              <w:spacing w:after="0"/>
              <w:rPr>
                <w:sz w:val="20"/>
                <w:szCs w:val="20"/>
                <w:color w:val="auto"/>
              </w:rPr>
            </w:pPr>
            <w:r>
              <w:rPr>
                <w:rFonts w:ascii="Arial" w:cs="Arial" w:eastAsia="Arial" w:hAnsi="Arial"/>
                <w:sz w:val="20"/>
                <w:szCs w:val="20"/>
                <w:color w:val="auto"/>
              </w:rPr>
              <w:t>Satisfaction and Discharge of Indenture.</w:t>
            </w:r>
          </w:p>
        </w:tc>
        <w:tc>
          <w:tcPr>
            <w:tcW w:w="17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8.2</w:t>
            </w:r>
          </w:p>
        </w:tc>
        <w:tc>
          <w:tcPr>
            <w:tcW w:w="7960" w:type="dxa"/>
            <w:vAlign w:val="bottom"/>
          </w:tcPr>
          <w:p>
            <w:pPr>
              <w:ind w:left="280"/>
              <w:spacing w:after="0"/>
              <w:rPr>
                <w:sz w:val="20"/>
                <w:szCs w:val="20"/>
                <w:color w:val="auto"/>
              </w:rPr>
            </w:pPr>
            <w:r>
              <w:rPr>
                <w:rFonts w:ascii="Arial" w:cs="Arial" w:eastAsia="Arial" w:hAnsi="Arial"/>
                <w:sz w:val="20"/>
                <w:szCs w:val="20"/>
                <w:color w:val="auto"/>
              </w:rPr>
              <w:t>Application of Trust Funds; Indemnification.</w:t>
            </w:r>
          </w:p>
        </w:tc>
        <w:tc>
          <w:tcPr>
            <w:tcW w:w="17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8.3</w:t>
            </w:r>
          </w:p>
        </w:tc>
        <w:tc>
          <w:tcPr>
            <w:tcW w:w="7960" w:type="dxa"/>
            <w:vAlign w:val="bottom"/>
          </w:tcPr>
          <w:p>
            <w:pPr>
              <w:ind w:left="280"/>
              <w:spacing w:after="0"/>
              <w:rPr>
                <w:sz w:val="20"/>
                <w:szCs w:val="20"/>
                <w:color w:val="auto"/>
              </w:rPr>
            </w:pPr>
            <w:r>
              <w:rPr>
                <w:rFonts w:ascii="Arial" w:cs="Arial" w:eastAsia="Arial" w:hAnsi="Arial"/>
                <w:sz w:val="20"/>
                <w:szCs w:val="20"/>
                <w:color w:val="auto"/>
              </w:rPr>
              <w:t>Legal Defeasance of Securities of any Series.</w:t>
            </w:r>
          </w:p>
        </w:tc>
        <w:tc>
          <w:tcPr>
            <w:tcW w:w="17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8.4</w:t>
            </w:r>
          </w:p>
        </w:tc>
        <w:tc>
          <w:tcPr>
            <w:tcW w:w="7960" w:type="dxa"/>
            <w:vAlign w:val="bottom"/>
          </w:tcPr>
          <w:p>
            <w:pPr>
              <w:ind w:left="280"/>
              <w:spacing w:after="0"/>
              <w:rPr>
                <w:sz w:val="20"/>
                <w:szCs w:val="20"/>
                <w:color w:val="auto"/>
              </w:rPr>
            </w:pPr>
            <w:r>
              <w:rPr>
                <w:rFonts w:ascii="Arial" w:cs="Arial" w:eastAsia="Arial" w:hAnsi="Arial"/>
                <w:sz w:val="20"/>
                <w:szCs w:val="20"/>
                <w:color w:val="auto"/>
              </w:rPr>
              <w:t>Covenant Defeasance.</w:t>
            </w:r>
          </w:p>
        </w:tc>
        <w:tc>
          <w:tcPr>
            <w:tcW w:w="17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8.5</w:t>
            </w:r>
          </w:p>
        </w:tc>
        <w:tc>
          <w:tcPr>
            <w:tcW w:w="7960" w:type="dxa"/>
            <w:vAlign w:val="bottom"/>
          </w:tcPr>
          <w:p>
            <w:pPr>
              <w:ind w:left="280"/>
              <w:spacing w:after="0"/>
              <w:rPr>
                <w:sz w:val="20"/>
                <w:szCs w:val="20"/>
                <w:color w:val="auto"/>
              </w:rPr>
            </w:pPr>
            <w:r>
              <w:rPr>
                <w:rFonts w:ascii="Arial" w:cs="Arial" w:eastAsia="Arial" w:hAnsi="Arial"/>
                <w:sz w:val="20"/>
                <w:szCs w:val="20"/>
                <w:color w:val="auto"/>
              </w:rPr>
              <w:t>Repayment to Company.</w:t>
            </w:r>
          </w:p>
        </w:tc>
        <w:tc>
          <w:tcPr>
            <w:tcW w:w="17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8.6</w:t>
            </w:r>
          </w:p>
        </w:tc>
        <w:tc>
          <w:tcPr>
            <w:tcW w:w="7960" w:type="dxa"/>
            <w:vAlign w:val="bottom"/>
          </w:tcPr>
          <w:p>
            <w:pPr>
              <w:ind w:left="280"/>
              <w:spacing w:after="0"/>
              <w:rPr>
                <w:sz w:val="20"/>
                <w:szCs w:val="20"/>
                <w:color w:val="auto"/>
              </w:rPr>
            </w:pPr>
            <w:r>
              <w:rPr>
                <w:rFonts w:ascii="Arial" w:cs="Arial" w:eastAsia="Arial" w:hAnsi="Arial"/>
                <w:sz w:val="20"/>
                <w:szCs w:val="20"/>
                <w:color w:val="auto"/>
              </w:rPr>
              <w:t>Reinstatement.</w:t>
            </w:r>
          </w:p>
        </w:tc>
        <w:tc>
          <w:tcPr>
            <w:tcW w:w="17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10"/>
        </w:trPr>
        <w:tc>
          <w:tcPr>
            <w:tcW w:w="1360" w:type="dxa"/>
            <w:vAlign w:val="bottom"/>
          </w:tcPr>
          <w:p>
            <w:pPr>
              <w:spacing w:after="0"/>
              <w:rPr>
                <w:sz w:val="24"/>
                <w:szCs w:val="24"/>
                <w:color w:val="auto"/>
              </w:rPr>
            </w:pPr>
          </w:p>
        </w:tc>
        <w:tc>
          <w:tcPr>
            <w:tcW w:w="7960" w:type="dxa"/>
            <w:vAlign w:val="bottom"/>
          </w:tcPr>
          <w:p>
            <w:pPr>
              <w:jc w:val="center"/>
              <w:ind w:right="221"/>
              <w:spacing w:after="0"/>
              <w:rPr>
                <w:sz w:val="20"/>
                <w:szCs w:val="20"/>
                <w:color w:val="auto"/>
              </w:rPr>
            </w:pPr>
            <w:r>
              <w:rPr>
                <w:rFonts w:ascii="Arial" w:cs="Arial" w:eastAsia="Arial" w:hAnsi="Arial"/>
                <w:sz w:val="20"/>
                <w:szCs w:val="20"/>
                <w:color w:val="auto"/>
                <w:w w:val="99"/>
              </w:rPr>
              <w:t>ARTICLE IX</w:t>
            </w:r>
          </w:p>
        </w:tc>
        <w:tc>
          <w:tcPr>
            <w:tcW w:w="1700" w:type="dxa"/>
            <w:vAlign w:val="bottom"/>
          </w:tcPr>
          <w:p>
            <w:pPr>
              <w:spacing w:after="0"/>
              <w:rPr>
                <w:sz w:val="24"/>
                <w:szCs w:val="24"/>
                <w:color w:val="auto"/>
              </w:rPr>
            </w:pPr>
          </w:p>
        </w:tc>
      </w:tr>
      <w:tr>
        <w:trPr>
          <w:trHeight w:val="311"/>
        </w:trPr>
        <w:tc>
          <w:tcPr>
            <w:tcW w:w="1360" w:type="dxa"/>
            <w:vAlign w:val="bottom"/>
          </w:tcPr>
          <w:p>
            <w:pPr>
              <w:spacing w:after="0"/>
              <w:rPr>
                <w:sz w:val="24"/>
                <w:szCs w:val="24"/>
                <w:color w:val="auto"/>
              </w:rPr>
            </w:pPr>
          </w:p>
        </w:tc>
        <w:tc>
          <w:tcPr>
            <w:tcW w:w="7960" w:type="dxa"/>
            <w:vAlign w:val="bottom"/>
          </w:tcPr>
          <w:p>
            <w:pPr>
              <w:ind w:left="2840"/>
              <w:spacing w:after="0"/>
              <w:rPr>
                <w:sz w:val="20"/>
                <w:szCs w:val="20"/>
                <w:color w:val="auto"/>
              </w:rPr>
            </w:pPr>
            <w:r>
              <w:rPr>
                <w:rFonts w:ascii="Arial" w:cs="Arial" w:eastAsia="Arial" w:hAnsi="Arial"/>
                <w:sz w:val="20"/>
                <w:szCs w:val="20"/>
                <w:color w:val="auto"/>
              </w:rPr>
              <w:t>AMENDMENTS AND WAIVERS</w:t>
            </w:r>
          </w:p>
        </w:tc>
        <w:tc>
          <w:tcPr>
            <w:tcW w:w="1700" w:type="dxa"/>
            <w:vAlign w:val="bottom"/>
          </w:tcPr>
          <w:p>
            <w:pPr>
              <w:spacing w:after="0"/>
              <w:rPr>
                <w:sz w:val="24"/>
                <w:szCs w:val="24"/>
                <w:color w:val="auto"/>
              </w:rPr>
            </w:pP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9.1</w:t>
            </w:r>
          </w:p>
        </w:tc>
        <w:tc>
          <w:tcPr>
            <w:tcW w:w="7960" w:type="dxa"/>
            <w:vAlign w:val="bottom"/>
          </w:tcPr>
          <w:p>
            <w:pPr>
              <w:ind w:left="280"/>
              <w:spacing w:after="0"/>
              <w:rPr>
                <w:sz w:val="20"/>
                <w:szCs w:val="20"/>
                <w:color w:val="auto"/>
              </w:rPr>
            </w:pPr>
            <w:r>
              <w:rPr>
                <w:rFonts w:ascii="Arial" w:cs="Arial" w:eastAsia="Arial" w:hAnsi="Arial"/>
                <w:sz w:val="20"/>
                <w:szCs w:val="20"/>
                <w:color w:val="auto"/>
              </w:rPr>
              <w:t>Without Consent of Holders.</w:t>
            </w:r>
          </w:p>
        </w:tc>
        <w:tc>
          <w:tcPr>
            <w:tcW w:w="17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9.2</w:t>
            </w:r>
          </w:p>
        </w:tc>
        <w:tc>
          <w:tcPr>
            <w:tcW w:w="7960" w:type="dxa"/>
            <w:vAlign w:val="bottom"/>
          </w:tcPr>
          <w:p>
            <w:pPr>
              <w:ind w:left="280"/>
              <w:spacing w:after="0"/>
              <w:rPr>
                <w:sz w:val="20"/>
                <w:szCs w:val="20"/>
                <w:color w:val="auto"/>
              </w:rPr>
            </w:pPr>
            <w:r>
              <w:rPr>
                <w:rFonts w:ascii="Arial" w:cs="Arial" w:eastAsia="Arial" w:hAnsi="Arial"/>
                <w:sz w:val="20"/>
                <w:szCs w:val="20"/>
                <w:color w:val="auto"/>
              </w:rPr>
              <w:t>With Consent of Holders.</w:t>
            </w:r>
          </w:p>
        </w:tc>
        <w:tc>
          <w:tcPr>
            <w:tcW w:w="17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9.3</w:t>
            </w:r>
          </w:p>
        </w:tc>
        <w:tc>
          <w:tcPr>
            <w:tcW w:w="7960" w:type="dxa"/>
            <w:vAlign w:val="bottom"/>
          </w:tcPr>
          <w:p>
            <w:pPr>
              <w:ind w:left="280"/>
              <w:spacing w:after="0"/>
              <w:rPr>
                <w:sz w:val="20"/>
                <w:szCs w:val="20"/>
                <w:color w:val="auto"/>
              </w:rPr>
            </w:pPr>
            <w:r>
              <w:rPr>
                <w:rFonts w:ascii="Arial" w:cs="Arial" w:eastAsia="Arial" w:hAnsi="Arial"/>
                <w:sz w:val="20"/>
                <w:szCs w:val="20"/>
                <w:color w:val="auto"/>
              </w:rPr>
              <w:t>Limitations.</w:t>
            </w:r>
          </w:p>
        </w:tc>
        <w:tc>
          <w:tcPr>
            <w:tcW w:w="17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9.4</w:t>
            </w:r>
          </w:p>
        </w:tc>
        <w:tc>
          <w:tcPr>
            <w:tcW w:w="7960" w:type="dxa"/>
            <w:vAlign w:val="bottom"/>
          </w:tcPr>
          <w:p>
            <w:pPr>
              <w:ind w:left="280"/>
              <w:spacing w:after="0"/>
              <w:rPr>
                <w:sz w:val="20"/>
                <w:szCs w:val="20"/>
                <w:color w:val="auto"/>
              </w:rPr>
            </w:pPr>
            <w:r>
              <w:rPr>
                <w:rFonts w:ascii="Arial" w:cs="Arial" w:eastAsia="Arial" w:hAnsi="Arial"/>
                <w:sz w:val="20"/>
                <w:szCs w:val="20"/>
                <w:color w:val="auto"/>
              </w:rPr>
              <w:t>Compliance with Trust Indenture Act.</w:t>
            </w:r>
          </w:p>
        </w:tc>
        <w:tc>
          <w:tcPr>
            <w:tcW w:w="17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9.5</w:t>
            </w:r>
          </w:p>
        </w:tc>
        <w:tc>
          <w:tcPr>
            <w:tcW w:w="7960" w:type="dxa"/>
            <w:vAlign w:val="bottom"/>
          </w:tcPr>
          <w:p>
            <w:pPr>
              <w:ind w:left="280"/>
              <w:spacing w:after="0"/>
              <w:rPr>
                <w:sz w:val="20"/>
                <w:szCs w:val="20"/>
                <w:color w:val="auto"/>
              </w:rPr>
            </w:pPr>
            <w:r>
              <w:rPr>
                <w:rFonts w:ascii="Arial" w:cs="Arial" w:eastAsia="Arial" w:hAnsi="Arial"/>
                <w:sz w:val="20"/>
                <w:szCs w:val="20"/>
                <w:color w:val="auto"/>
              </w:rPr>
              <w:t>Revocation and Effect of Consents.</w:t>
            </w:r>
          </w:p>
        </w:tc>
        <w:tc>
          <w:tcPr>
            <w:tcW w:w="17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9.6</w:t>
            </w:r>
          </w:p>
        </w:tc>
        <w:tc>
          <w:tcPr>
            <w:tcW w:w="7960" w:type="dxa"/>
            <w:vAlign w:val="bottom"/>
          </w:tcPr>
          <w:p>
            <w:pPr>
              <w:ind w:left="280"/>
              <w:spacing w:after="0"/>
              <w:rPr>
                <w:sz w:val="20"/>
                <w:szCs w:val="20"/>
                <w:color w:val="auto"/>
              </w:rPr>
            </w:pPr>
            <w:r>
              <w:rPr>
                <w:rFonts w:ascii="Arial" w:cs="Arial" w:eastAsia="Arial" w:hAnsi="Arial"/>
                <w:sz w:val="20"/>
                <w:szCs w:val="20"/>
                <w:color w:val="auto"/>
              </w:rPr>
              <w:t>Notation on or Exchange of Securities.</w:t>
            </w:r>
          </w:p>
        </w:tc>
        <w:tc>
          <w:tcPr>
            <w:tcW w:w="17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9.7</w:t>
            </w:r>
          </w:p>
        </w:tc>
        <w:tc>
          <w:tcPr>
            <w:tcW w:w="7960" w:type="dxa"/>
            <w:vAlign w:val="bottom"/>
          </w:tcPr>
          <w:p>
            <w:pPr>
              <w:ind w:left="280"/>
              <w:spacing w:after="0"/>
              <w:rPr>
                <w:sz w:val="20"/>
                <w:szCs w:val="20"/>
                <w:color w:val="auto"/>
              </w:rPr>
            </w:pPr>
            <w:r>
              <w:rPr>
                <w:rFonts w:ascii="Arial" w:cs="Arial" w:eastAsia="Arial" w:hAnsi="Arial"/>
                <w:sz w:val="20"/>
                <w:szCs w:val="20"/>
                <w:color w:val="auto"/>
              </w:rPr>
              <w:t>Trustee Protected.</w:t>
            </w:r>
          </w:p>
        </w:tc>
        <w:tc>
          <w:tcPr>
            <w:tcW w:w="17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10"/>
        </w:trPr>
        <w:tc>
          <w:tcPr>
            <w:tcW w:w="1360" w:type="dxa"/>
            <w:vAlign w:val="bottom"/>
          </w:tcPr>
          <w:p>
            <w:pPr>
              <w:spacing w:after="0"/>
              <w:rPr>
                <w:sz w:val="24"/>
                <w:szCs w:val="24"/>
                <w:color w:val="auto"/>
              </w:rPr>
            </w:pPr>
          </w:p>
        </w:tc>
        <w:tc>
          <w:tcPr>
            <w:tcW w:w="7960" w:type="dxa"/>
            <w:vAlign w:val="bottom"/>
          </w:tcPr>
          <w:p>
            <w:pPr>
              <w:jc w:val="center"/>
              <w:ind w:right="241"/>
              <w:spacing w:after="0"/>
              <w:rPr>
                <w:sz w:val="20"/>
                <w:szCs w:val="20"/>
                <w:color w:val="auto"/>
              </w:rPr>
            </w:pPr>
            <w:r>
              <w:rPr>
                <w:rFonts w:ascii="Arial" w:cs="Arial" w:eastAsia="Arial" w:hAnsi="Arial"/>
                <w:sz w:val="20"/>
                <w:szCs w:val="20"/>
                <w:color w:val="auto"/>
                <w:w w:val="98"/>
              </w:rPr>
              <w:t>ARTICLE X</w:t>
            </w:r>
          </w:p>
        </w:tc>
        <w:tc>
          <w:tcPr>
            <w:tcW w:w="1700" w:type="dxa"/>
            <w:vAlign w:val="bottom"/>
          </w:tcPr>
          <w:p>
            <w:pPr>
              <w:spacing w:after="0"/>
              <w:rPr>
                <w:sz w:val="24"/>
                <w:szCs w:val="24"/>
                <w:color w:val="auto"/>
              </w:rPr>
            </w:pPr>
          </w:p>
        </w:tc>
      </w:tr>
      <w:tr>
        <w:trPr>
          <w:trHeight w:val="310"/>
        </w:trPr>
        <w:tc>
          <w:tcPr>
            <w:tcW w:w="1360" w:type="dxa"/>
            <w:vAlign w:val="bottom"/>
          </w:tcPr>
          <w:p>
            <w:pPr>
              <w:spacing w:after="0"/>
              <w:rPr>
                <w:sz w:val="24"/>
                <w:szCs w:val="24"/>
                <w:color w:val="auto"/>
              </w:rPr>
            </w:pPr>
          </w:p>
        </w:tc>
        <w:tc>
          <w:tcPr>
            <w:tcW w:w="7960" w:type="dxa"/>
            <w:vAlign w:val="bottom"/>
          </w:tcPr>
          <w:p>
            <w:pPr>
              <w:jc w:val="center"/>
              <w:ind w:right="241"/>
              <w:spacing w:after="0"/>
              <w:rPr>
                <w:sz w:val="20"/>
                <w:szCs w:val="20"/>
                <w:color w:val="auto"/>
              </w:rPr>
            </w:pPr>
            <w:r>
              <w:rPr>
                <w:rFonts w:ascii="Arial" w:cs="Arial" w:eastAsia="Arial" w:hAnsi="Arial"/>
                <w:sz w:val="20"/>
                <w:szCs w:val="20"/>
                <w:color w:val="auto"/>
                <w:w w:val="97"/>
              </w:rPr>
              <w:t>MISCELLANEOUS</w:t>
            </w:r>
          </w:p>
        </w:tc>
        <w:tc>
          <w:tcPr>
            <w:tcW w:w="1700" w:type="dxa"/>
            <w:vAlign w:val="bottom"/>
          </w:tcPr>
          <w:p>
            <w:pPr>
              <w:spacing w:after="0"/>
              <w:rPr>
                <w:sz w:val="24"/>
                <w:szCs w:val="24"/>
                <w:color w:val="auto"/>
              </w:rPr>
            </w:pP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10.1</w:t>
            </w:r>
          </w:p>
        </w:tc>
        <w:tc>
          <w:tcPr>
            <w:tcW w:w="7960" w:type="dxa"/>
            <w:vAlign w:val="bottom"/>
          </w:tcPr>
          <w:p>
            <w:pPr>
              <w:ind w:left="280"/>
              <w:spacing w:after="0"/>
              <w:rPr>
                <w:sz w:val="20"/>
                <w:szCs w:val="20"/>
                <w:color w:val="auto"/>
              </w:rPr>
            </w:pPr>
            <w:r>
              <w:rPr>
                <w:rFonts w:ascii="Arial" w:cs="Arial" w:eastAsia="Arial" w:hAnsi="Arial"/>
                <w:sz w:val="20"/>
                <w:szCs w:val="20"/>
                <w:color w:val="auto"/>
              </w:rPr>
              <w:t>Trust Indenture Act Controls.</w:t>
            </w:r>
          </w:p>
        </w:tc>
        <w:tc>
          <w:tcPr>
            <w:tcW w:w="17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10.2</w:t>
            </w:r>
          </w:p>
        </w:tc>
        <w:tc>
          <w:tcPr>
            <w:tcW w:w="7960" w:type="dxa"/>
            <w:vAlign w:val="bottom"/>
          </w:tcPr>
          <w:p>
            <w:pPr>
              <w:ind w:left="280"/>
              <w:spacing w:after="0"/>
              <w:rPr>
                <w:sz w:val="20"/>
                <w:szCs w:val="20"/>
                <w:color w:val="auto"/>
              </w:rPr>
            </w:pPr>
            <w:r>
              <w:rPr>
                <w:rFonts w:ascii="Arial" w:cs="Arial" w:eastAsia="Arial" w:hAnsi="Arial"/>
                <w:sz w:val="20"/>
                <w:szCs w:val="20"/>
                <w:color w:val="auto"/>
              </w:rPr>
              <w:t>Notices.</w:t>
            </w:r>
          </w:p>
        </w:tc>
        <w:tc>
          <w:tcPr>
            <w:tcW w:w="17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10.3</w:t>
            </w:r>
          </w:p>
        </w:tc>
        <w:tc>
          <w:tcPr>
            <w:tcW w:w="7960" w:type="dxa"/>
            <w:vAlign w:val="bottom"/>
          </w:tcPr>
          <w:p>
            <w:pPr>
              <w:ind w:left="280"/>
              <w:spacing w:after="0"/>
              <w:rPr>
                <w:sz w:val="20"/>
                <w:szCs w:val="20"/>
                <w:color w:val="auto"/>
              </w:rPr>
            </w:pPr>
            <w:r>
              <w:rPr>
                <w:rFonts w:ascii="Arial" w:cs="Arial" w:eastAsia="Arial" w:hAnsi="Arial"/>
                <w:sz w:val="20"/>
                <w:szCs w:val="20"/>
                <w:color w:val="auto"/>
              </w:rPr>
              <w:t>Communication by Holders with Other Holders.</w:t>
            </w:r>
          </w:p>
        </w:tc>
        <w:tc>
          <w:tcPr>
            <w:tcW w:w="17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10.4</w:t>
            </w:r>
          </w:p>
        </w:tc>
        <w:tc>
          <w:tcPr>
            <w:tcW w:w="7960" w:type="dxa"/>
            <w:vAlign w:val="bottom"/>
          </w:tcPr>
          <w:p>
            <w:pPr>
              <w:ind w:left="280"/>
              <w:spacing w:after="0"/>
              <w:rPr>
                <w:sz w:val="20"/>
                <w:szCs w:val="20"/>
                <w:color w:val="auto"/>
              </w:rPr>
            </w:pPr>
            <w:r>
              <w:rPr>
                <w:rFonts w:ascii="Arial" w:cs="Arial" w:eastAsia="Arial" w:hAnsi="Arial"/>
                <w:sz w:val="20"/>
                <w:szCs w:val="20"/>
                <w:color w:val="auto"/>
              </w:rPr>
              <w:t>Certificate and Opinion as to Conditions Precedent.</w:t>
            </w:r>
          </w:p>
        </w:tc>
        <w:tc>
          <w:tcPr>
            <w:tcW w:w="17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10.5</w:t>
            </w:r>
          </w:p>
        </w:tc>
        <w:tc>
          <w:tcPr>
            <w:tcW w:w="7960" w:type="dxa"/>
            <w:vAlign w:val="bottom"/>
          </w:tcPr>
          <w:p>
            <w:pPr>
              <w:ind w:left="280"/>
              <w:spacing w:after="0"/>
              <w:rPr>
                <w:sz w:val="20"/>
                <w:szCs w:val="20"/>
                <w:color w:val="auto"/>
              </w:rPr>
            </w:pPr>
            <w:r>
              <w:rPr>
                <w:rFonts w:ascii="Arial" w:cs="Arial" w:eastAsia="Arial" w:hAnsi="Arial"/>
                <w:sz w:val="20"/>
                <w:szCs w:val="20"/>
                <w:color w:val="auto"/>
              </w:rPr>
              <w:t>Statements Required in Certificate or Opinion.</w:t>
            </w:r>
          </w:p>
        </w:tc>
        <w:tc>
          <w:tcPr>
            <w:tcW w:w="17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10.6</w:t>
            </w:r>
          </w:p>
        </w:tc>
        <w:tc>
          <w:tcPr>
            <w:tcW w:w="7960" w:type="dxa"/>
            <w:vAlign w:val="bottom"/>
          </w:tcPr>
          <w:p>
            <w:pPr>
              <w:ind w:left="280"/>
              <w:spacing w:after="0"/>
              <w:rPr>
                <w:sz w:val="20"/>
                <w:szCs w:val="20"/>
                <w:color w:val="auto"/>
              </w:rPr>
            </w:pPr>
            <w:r>
              <w:rPr>
                <w:rFonts w:ascii="Arial" w:cs="Arial" w:eastAsia="Arial" w:hAnsi="Arial"/>
                <w:sz w:val="20"/>
                <w:szCs w:val="20"/>
                <w:color w:val="auto"/>
              </w:rPr>
              <w:t>Rules by Trustee and Agents.</w:t>
            </w:r>
          </w:p>
        </w:tc>
        <w:tc>
          <w:tcPr>
            <w:tcW w:w="17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10.7</w:t>
            </w:r>
          </w:p>
        </w:tc>
        <w:tc>
          <w:tcPr>
            <w:tcW w:w="7960" w:type="dxa"/>
            <w:vAlign w:val="bottom"/>
          </w:tcPr>
          <w:p>
            <w:pPr>
              <w:ind w:left="280"/>
              <w:spacing w:after="0"/>
              <w:rPr>
                <w:sz w:val="20"/>
                <w:szCs w:val="20"/>
                <w:color w:val="auto"/>
              </w:rPr>
            </w:pPr>
            <w:r>
              <w:rPr>
                <w:rFonts w:ascii="Arial" w:cs="Arial" w:eastAsia="Arial" w:hAnsi="Arial"/>
                <w:sz w:val="20"/>
                <w:szCs w:val="20"/>
                <w:color w:val="auto"/>
              </w:rPr>
              <w:t>Legal Holidays.</w:t>
            </w:r>
          </w:p>
        </w:tc>
        <w:tc>
          <w:tcPr>
            <w:tcW w:w="1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10.8</w:t>
            </w:r>
          </w:p>
        </w:tc>
        <w:tc>
          <w:tcPr>
            <w:tcW w:w="7960" w:type="dxa"/>
            <w:vAlign w:val="bottom"/>
          </w:tcPr>
          <w:p>
            <w:pPr>
              <w:ind w:left="280"/>
              <w:spacing w:after="0"/>
              <w:rPr>
                <w:sz w:val="20"/>
                <w:szCs w:val="20"/>
                <w:color w:val="auto"/>
              </w:rPr>
            </w:pPr>
            <w:r>
              <w:rPr>
                <w:rFonts w:ascii="Arial" w:cs="Arial" w:eastAsia="Arial" w:hAnsi="Arial"/>
                <w:sz w:val="20"/>
                <w:szCs w:val="20"/>
                <w:color w:val="auto"/>
              </w:rPr>
              <w:t>No Recourse Against Others.</w:t>
            </w:r>
          </w:p>
        </w:tc>
        <w:tc>
          <w:tcPr>
            <w:tcW w:w="1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10.9</w:t>
            </w:r>
          </w:p>
        </w:tc>
        <w:tc>
          <w:tcPr>
            <w:tcW w:w="7960" w:type="dxa"/>
            <w:vAlign w:val="bottom"/>
          </w:tcPr>
          <w:p>
            <w:pPr>
              <w:ind w:left="280"/>
              <w:spacing w:after="0"/>
              <w:rPr>
                <w:sz w:val="20"/>
                <w:szCs w:val="20"/>
                <w:color w:val="auto"/>
              </w:rPr>
            </w:pPr>
            <w:r>
              <w:rPr>
                <w:rFonts w:ascii="Arial" w:cs="Arial" w:eastAsia="Arial" w:hAnsi="Arial"/>
                <w:sz w:val="20"/>
                <w:szCs w:val="20"/>
                <w:color w:val="auto"/>
              </w:rPr>
              <w:t>Counterparts.</w:t>
            </w:r>
          </w:p>
        </w:tc>
        <w:tc>
          <w:tcPr>
            <w:tcW w:w="1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10.10</w:t>
            </w:r>
          </w:p>
        </w:tc>
        <w:tc>
          <w:tcPr>
            <w:tcW w:w="7960" w:type="dxa"/>
            <w:vAlign w:val="bottom"/>
          </w:tcPr>
          <w:p>
            <w:pPr>
              <w:ind w:left="280"/>
              <w:spacing w:after="0"/>
              <w:rPr>
                <w:sz w:val="20"/>
                <w:szCs w:val="20"/>
                <w:color w:val="auto"/>
              </w:rPr>
            </w:pPr>
            <w:r>
              <w:rPr>
                <w:rFonts w:ascii="Arial" w:cs="Arial" w:eastAsia="Arial" w:hAnsi="Arial"/>
                <w:sz w:val="20"/>
                <w:szCs w:val="20"/>
                <w:color w:val="auto"/>
              </w:rPr>
              <w:t>Governing Law; Jury Trial Waiver.</w:t>
            </w:r>
          </w:p>
        </w:tc>
        <w:tc>
          <w:tcPr>
            <w:tcW w:w="1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10.11</w:t>
            </w:r>
          </w:p>
        </w:tc>
        <w:tc>
          <w:tcPr>
            <w:tcW w:w="7960" w:type="dxa"/>
            <w:vAlign w:val="bottom"/>
          </w:tcPr>
          <w:p>
            <w:pPr>
              <w:ind w:left="280"/>
              <w:spacing w:after="0"/>
              <w:rPr>
                <w:sz w:val="20"/>
                <w:szCs w:val="20"/>
                <w:color w:val="auto"/>
              </w:rPr>
            </w:pPr>
            <w:r>
              <w:rPr>
                <w:rFonts w:ascii="Arial" w:cs="Arial" w:eastAsia="Arial" w:hAnsi="Arial"/>
                <w:sz w:val="20"/>
                <w:szCs w:val="20"/>
                <w:color w:val="auto"/>
              </w:rPr>
              <w:t>No Adverse Interpretation of Other Agreements.</w:t>
            </w:r>
          </w:p>
        </w:tc>
        <w:tc>
          <w:tcPr>
            <w:tcW w:w="1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10.12</w:t>
            </w:r>
          </w:p>
        </w:tc>
        <w:tc>
          <w:tcPr>
            <w:tcW w:w="7960" w:type="dxa"/>
            <w:vAlign w:val="bottom"/>
          </w:tcPr>
          <w:p>
            <w:pPr>
              <w:ind w:left="280"/>
              <w:spacing w:after="0"/>
              <w:rPr>
                <w:sz w:val="20"/>
                <w:szCs w:val="20"/>
                <w:color w:val="auto"/>
              </w:rPr>
            </w:pPr>
            <w:r>
              <w:rPr>
                <w:rFonts w:ascii="Arial" w:cs="Arial" w:eastAsia="Arial" w:hAnsi="Arial"/>
                <w:sz w:val="20"/>
                <w:szCs w:val="20"/>
                <w:color w:val="auto"/>
              </w:rPr>
              <w:t>Successors.</w:t>
            </w:r>
          </w:p>
        </w:tc>
        <w:tc>
          <w:tcPr>
            <w:tcW w:w="17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10.13</w:t>
            </w:r>
          </w:p>
        </w:tc>
        <w:tc>
          <w:tcPr>
            <w:tcW w:w="7960" w:type="dxa"/>
            <w:vAlign w:val="bottom"/>
          </w:tcPr>
          <w:p>
            <w:pPr>
              <w:ind w:left="280"/>
              <w:spacing w:after="0"/>
              <w:rPr>
                <w:sz w:val="20"/>
                <w:szCs w:val="20"/>
                <w:color w:val="auto"/>
              </w:rPr>
            </w:pPr>
            <w:r>
              <w:rPr>
                <w:rFonts w:ascii="Arial" w:cs="Arial" w:eastAsia="Arial" w:hAnsi="Arial"/>
                <w:sz w:val="20"/>
                <w:szCs w:val="20"/>
                <w:color w:val="auto"/>
              </w:rPr>
              <w:t>Severability.</w:t>
            </w:r>
          </w:p>
        </w:tc>
        <w:tc>
          <w:tcPr>
            <w:tcW w:w="17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10.14</w:t>
            </w:r>
          </w:p>
        </w:tc>
        <w:tc>
          <w:tcPr>
            <w:tcW w:w="7960" w:type="dxa"/>
            <w:vAlign w:val="bottom"/>
          </w:tcPr>
          <w:p>
            <w:pPr>
              <w:ind w:left="280"/>
              <w:spacing w:after="0"/>
              <w:rPr>
                <w:sz w:val="20"/>
                <w:szCs w:val="20"/>
                <w:color w:val="auto"/>
              </w:rPr>
            </w:pPr>
            <w:r>
              <w:rPr>
                <w:rFonts w:ascii="Arial" w:cs="Arial" w:eastAsia="Arial" w:hAnsi="Arial"/>
                <w:sz w:val="20"/>
                <w:szCs w:val="20"/>
                <w:color w:val="auto"/>
              </w:rPr>
              <w:t>Table of Contents, Headings, Etc.</w:t>
            </w:r>
          </w:p>
        </w:tc>
        <w:tc>
          <w:tcPr>
            <w:tcW w:w="17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10.15</w:t>
            </w:r>
          </w:p>
        </w:tc>
        <w:tc>
          <w:tcPr>
            <w:tcW w:w="7960" w:type="dxa"/>
            <w:vAlign w:val="bottom"/>
          </w:tcPr>
          <w:p>
            <w:pPr>
              <w:ind w:left="280"/>
              <w:spacing w:after="0"/>
              <w:rPr>
                <w:sz w:val="20"/>
                <w:szCs w:val="20"/>
                <w:color w:val="auto"/>
              </w:rPr>
            </w:pPr>
            <w:r>
              <w:rPr>
                <w:rFonts w:ascii="Arial" w:cs="Arial" w:eastAsia="Arial" w:hAnsi="Arial"/>
                <w:sz w:val="20"/>
                <w:szCs w:val="20"/>
                <w:color w:val="auto"/>
              </w:rPr>
              <w:t>Securities in a Foreign Currency.</w:t>
            </w:r>
          </w:p>
        </w:tc>
        <w:tc>
          <w:tcPr>
            <w:tcW w:w="17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10.16</w:t>
            </w:r>
          </w:p>
        </w:tc>
        <w:tc>
          <w:tcPr>
            <w:tcW w:w="7960" w:type="dxa"/>
            <w:vAlign w:val="bottom"/>
          </w:tcPr>
          <w:p>
            <w:pPr>
              <w:ind w:left="280"/>
              <w:spacing w:after="0"/>
              <w:rPr>
                <w:sz w:val="20"/>
                <w:szCs w:val="20"/>
                <w:color w:val="auto"/>
              </w:rPr>
            </w:pPr>
            <w:r>
              <w:rPr>
                <w:rFonts w:ascii="Arial" w:cs="Arial" w:eastAsia="Arial" w:hAnsi="Arial"/>
                <w:sz w:val="20"/>
                <w:szCs w:val="20"/>
                <w:color w:val="auto"/>
              </w:rPr>
              <w:t>Judgment Currency.</w:t>
            </w:r>
          </w:p>
        </w:tc>
        <w:tc>
          <w:tcPr>
            <w:tcW w:w="17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11"/>
        </w:trPr>
        <w:tc>
          <w:tcPr>
            <w:tcW w:w="1360" w:type="dxa"/>
            <w:vAlign w:val="bottom"/>
          </w:tcPr>
          <w:p>
            <w:pPr>
              <w:spacing w:after="0"/>
              <w:rPr>
                <w:sz w:val="20"/>
                <w:szCs w:val="20"/>
                <w:color w:val="auto"/>
              </w:rPr>
            </w:pPr>
            <w:r>
              <w:rPr>
                <w:rFonts w:ascii="Arial" w:cs="Arial" w:eastAsia="Arial" w:hAnsi="Arial"/>
                <w:sz w:val="20"/>
                <w:szCs w:val="20"/>
                <w:color w:val="auto"/>
              </w:rPr>
              <w:t>Section 10.17</w:t>
            </w:r>
          </w:p>
        </w:tc>
        <w:tc>
          <w:tcPr>
            <w:tcW w:w="7960" w:type="dxa"/>
            <w:vAlign w:val="bottom"/>
          </w:tcPr>
          <w:p>
            <w:pPr>
              <w:ind w:left="280"/>
              <w:spacing w:after="0"/>
              <w:rPr>
                <w:sz w:val="20"/>
                <w:szCs w:val="20"/>
                <w:color w:val="auto"/>
              </w:rPr>
            </w:pPr>
            <w:r>
              <w:rPr>
                <w:rFonts w:ascii="Arial" w:cs="Arial" w:eastAsia="Arial" w:hAnsi="Arial"/>
                <w:sz w:val="20"/>
                <w:szCs w:val="20"/>
                <w:color w:val="auto"/>
              </w:rPr>
              <w:t>Force Majeure.</w:t>
            </w:r>
          </w:p>
        </w:tc>
        <w:tc>
          <w:tcPr>
            <w:tcW w:w="17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0"/>
        </w:trPr>
        <w:tc>
          <w:tcPr>
            <w:tcW w:w="1360" w:type="dxa"/>
            <w:vAlign w:val="bottom"/>
          </w:tcPr>
          <w:p>
            <w:pPr>
              <w:spacing w:after="0"/>
              <w:rPr>
                <w:sz w:val="20"/>
                <w:szCs w:val="20"/>
                <w:color w:val="auto"/>
              </w:rPr>
            </w:pPr>
            <w:r>
              <w:rPr>
                <w:rFonts w:ascii="Arial" w:cs="Arial" w:eastAsia="Arial" w:hAnsi="Arial"/>
                <w:sz w:val="20"/>
                <w:szCs w:val="20"/>
                <w:color w:val="auto"/>
              </w:rPr>
              <w:t>Section 10.18</w:t>
            </w:r>
          </w:p>
        </w:tc>
        <w:tc>
          <w:tcPr>
            <w:tcW w:w="7960" w:type="dxa"/>
            <w:vAlign w:val="bottom"/>
          </w:tcPr>
          <w:p>
            <w:pPr>
              <w:ind w:left="280"/>
              <w:spacing w:after="0"/>
              <w:rPr>
                <w:sz w:val="20"/>
                <w:szCs w:val="20"/>
                <w:color w:val="auto"/>
              </w:rPr>
            </w:pPr>
            <w:r>
              <w:rPr>
                <w:rFonts w:ascii="Arial" w:cs="Arial" w:eastAsia="Arial" w:hAnsi="Arial"/>
                <w:sz w:val="20"/>
                <w:szCs w:val="20"/>
                <w:color w:val="auto"/>
              </w:rPr>
              <w:t>U.S.A. Patriot Act.</w:t>
            </w:r>
          </w:p>
        </w:tc>
        <w:tc>
          <w:tcPr>
            <w:tcW w:w="1700" w:type="dxa"/>
            <w:vAlign w:val="bottom"/>
          </w:tcPr>
          <w:p>
            <w:pPr>
              <w:jc w:val="right"/>
              <w:spacing w:after="0"/>
              <w:rPr>
                <w:sz w:val="20"/>
                <w:szCs w:val="20"/>
                <w:color w:val="auto"/>
              </w:rPr>
            </w:pPr>
            <w:r>
              <w:rPr>
                <w:rFonts w:ascii="Arial" w:cs="Arial" w:eastAsia="Arial" w:hAnsi="Arial"/>
                <w:sz w:val="20"/>
                <w:szCs w:val="20"/>
                <w:color w:val="auto"/>
              </w:rPr>
              <w:t>44</w:t>
            </w:r>
          </w:p>
        </w:tc>
      </w:tr>
    </w:tbl>
    <w:p>
      <w:pPr>
        <w:spacing w:after="0" w:line="200" w:lineRule="exact"/>
        <w:rPr>
          <w:sz w:val="20"/>
          <w:szCs w:val="20"/>
          <w:color w:val="auto"/>
        </w:rPr>
      </w:pPr>
    </w:p>
    <w:p>
      <w:pPr>
        <w:sectPr>
          <w:pgSz w:w="11900" w:h="16838" w:orient="portrait"/>
          <w:cols w:equalWidth="0" w:num="1">
            <w:col w:w="11020"/>
          </w:cols>
          <w:pgMar w:left="34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020"/>
          </w:cols>
          <w:pgMar w:left="340" w:top="1440" w:right="539" w:bottom="1440" w:gutter="0" w:footer="0" w:header="0"/>
          <w:type w:val="continuous"/>
        </w:sectPr>
      </w:pPr>
    </w:p>
    <w:bookmarkStart w:id="55" w:name="page56"/>
    <w:bookmarkEnd w:id="55"/>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1"/>
                <w:szCs w:val="21"/>
                <w:color w:val="auto"/>
              </w:rPr>
            </w:pPr>
          </w:p>
        </w:tc>
        <w:tc>
          <w:tcPr>
            <w:tcW w:w="7100" w:type="dxa"/>
            <w:vAlign w:val="bottom"/>
          </w:tcPr>
          <w:p>
            <w:pPr>
              <w:jc w:val="center"/>
              <w:ind w:left="521"/>
              <w:spacing w:after="0"/>
              <w:rPr>
                <w:sz w:val="20"/>
                <w:szCs w:val="20"/>
                <w:color w:val="auto"/>
              </w:rPr>
            </w:pPr>
            <w:r>
              <w:rPr>
                <w:rFonts w:ascii="Arial" w:cs="Arial" w:eastAsia="Arial" w:hAnsi="Arial"/>
                <w:sz w:val="20"/>
                <w:szCs w:val="20"/>
                <w:color w:val="auto"/>
                <w:w w:val="99"/>
              </w:rPr>
              <w:t>ARTICLE XI</w:t>
            </w:r>
          </w:p>
        </w:tc>
        <w:tc>
          <w:tcPr>
            <w:tcW w:w="2600" w:type="dxa"/>
            <w:vAlign w:val="bottom"/>
          </w:tcPr>
          <w:p>
            <w:pPr>
              <w:spacing w:after="0"/>
              <w:rPr>
                <w:sz w:val="21"/>
                <w:szCs w:val="21"/>
                <w:color w:val="auto"/>
              </w:rPr>
            </w:pPr>
          </w:p>
        </w:tc>
      </w:tr>
      <w:tr>
        <w:trPr>
          <w:trHeight w:val="311"/>
        </w:trPr>
        <w:tc>
          <w:tcPr>
            <w:tcW w:w="1320" w:type="dxa"/>
            <w:vAlign w:val="bottom"/>
          </w:tcPr>
          <w:p>
            <w:pPr>
              <w:spacing w:after="0"/>
              <w:rPr>
                <w:sz w:val="24"/>
                <w:szCs w:val="24"/>
                <w:color w:val="auto"/>
              </w:rPr>
            </w:pPr>
          </w:p>
        </w:tc>
        <w:tc>
          <w:tcPr>
            <w:tcW w:w="7100" w:type="dxa"/>
            <w:vAlign w:val="bottom"/>
          </w:tcPr>
          <w:p>
            <w:pPr>
              <w:jc w:val="center"/>
              <w:ind w:left="501"/>
              <w:spacing w:after="0"/>
              <w:rPr>
                <w:sz w:val="20"/>
                <w:szCs w:val="20"/>
                <w:color w:val="auto"/>
              </w:rPr>
            </w:pPr>
            <w:r>
              <w:rPr>
                <w:rFonts w:ascii="Arial" w:cs="Arial" w:eastAsia="Arial" w:hAnsi="Arial"/>
                <w:sz w:val="20"/>
                <w:szCs w:val="20"/>
                <w:color w:val="auto"/>
                <w:w w:val="95"/>
              </w:rPr>
              <w:t>SINKING FUNDS</w:t>
            </w:r>
          </w:p>
        </w:tc>
        <w:tc>
          <w:tcPr>
            <w:tcW w:w="260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11.1</w:t>
            </w:r>
          </w:p>
        </w:tc>
        <w:tc>
          <w:tcPr>
            <w:tcW w:w="7100" w:type="dxa"/>
            <w:vAlign w:val="bottom"/>
          </w:tcPr>
          <w:p>
            <w:pPr>
              <w:ind w:left="320"/>
              <w:spacing w:after="0"/>
              <w:rPr>
                <w:sz w:val="20"/>
                <w:szCs w:val="20"/>
                <w:color w:val="auto"/>
              </w:rPr>
            </w:pPr>
            <w:r>
              <w:rPr>
                <w:rFonts w:ascii="Arial" w:cs="Arial" w:eastAsia="Arial" w:hAnsi="Arial"/>
                <w:sz w:val="20"/>
                <w:szCs w:val="20"/>
                <w:color w:val="auto"/>
              </w:rPr>
              <w:t>Applicability of Article.</w:t>
            </w:r>
          </w:p>
        </w:tc>
        <w:tc>
          <w:tcPr>
            <w:tcW w:w="26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1"/>
        </w:trPr>
        <w:tc>
          <w:tcPr>
            <w:tcW w:w="1320" w:type="dxa"/>
            <w:vAlign w:val="bottom"/>
          </w:tcPr>
          <w:p>
            <w:pPr>
              <w:spacing w:after="0"/>
              <w:rPr>
                <w:sz w:val="20"/>
                <w:szCs w:val="20"/>
                <w:color w:val="auto"/>
              </w:rPr>
            </w:pPr>
            <w:r>
              <w:rPr>
                <w:rFonts w:ascii="Arial" w:cs="Arial" w:eastAsia="Arial" w:hAnsi="Arial"/>
                <w:sz w:val="20"/>
                <w:szCs w:val="20"/>
                <w:color w:val="auto"/>
              </w:rPr>
              <w:t>Section 11.2</w:t>
            </w:r>
          </w:p>
        </w:tc>
        <w:tc>
          <w:tcPr>
            <w:tcW w:w="7100" w:type="dxa"/>
            <w:vAlign w:val="bottom"/>
          </w:tcPr>
          <w:p>
            <w:pPr>
              <w:ind w:left="320"/>
              <w:spacing w:after="0"/>
              <w:rPr>
                <w:sz w:val="20"/>
                <w:szCs w:val="20"/>
                <w:color w:val="auto"/>
              </w:rPr>
            </w:pPr>
            <w:r>
              <w:rPr>
                <w:rFonts w:ascii="Arial" w:cs="Arial" w:eastAsia="Arial" w:hAnsi="Arial"/>
                <w:sz w:val="20"/>
                <w:szCs w:val="20"/>
                <w:color w:val="auto"/>
              </w:rPr>
              <w:t>Satisfaction of Sinking Fund Payments with Securities.</w:t>
            </w:r>
          </w:p>
        </w:tc>
        <w:tc>
          <w:tcPr>
            <w:tcW w:w="26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10"/>
        </w:trPr>
        <w:tc>
          <w:tcPr>
            <w:tcW w:w="1320" w:type="dxa"/>
            <w:vAlign w:val="bottom"/>
          </w:tcPr>
          <w:p>
            <w:pPr>
              <w:spacing w:after="0"/>
              <w:rPr>
                <w:sz w:val="20"/>
                <w:szCs w:val="20"/>
                <w:color w:val="auto"/>
              </w:rPr>
            </w:pPr>
            <w:r>
              <w:rPr>
                <w:rFonts w:ascii="Arial" w:cs="Arial" w:eastAsia="Arial" w:hAnsi="Arial"/>
                <w:sz w:val="20"/>
                <w:szCs w:val="20"/>
                <w:color w:val="auto"/>
              </w:rPr>
              <w:t>Section 11.3</w:t>
            </w:r>
          </w:p>
        </w:tc>
        <w:tc>
          <w:tcPr>
            <w:tcW w:w="7100" w:type="dxa"/>
            <w:vAlign w:val="bottom"/>
          </w:tcPr>
          <w:p>
            <w:pPr>
              <w:ind w:left="320"/>
              <w:spacing w:after="0"/>
              <w:rPr>
                <w:sz w:val="20"/>
                <w:szCs w:val="20"/>
                <w:color w:val="auto"/>
              </w:rPr>
            </w:pPr>
            <w:r>
              <w:rPr>
                <w:rFonts w:ascii="Arial" w:cs="Arial" w:eastAsia="Arial" w:hAnsi="Arial"/>
                <w:sz w:val="20"/>
                <w:szCs w:val="20"/>
                <w:color w:val="auto"/>
              </w:rPr>
              <w:t>Redemption of Securities for Sinking Fund.</w:t>
            </w:r>
          </w:p>
        </w:tc>
        <w:tc>
          <w:tcPr>
            <w:tcW w:w="2600" w:type="dxa"/>
            <w:vAlign w:val="bottom"/>
          </w:tcPr>
          <w:p>
            <w:pPr>
              <w:jc w:val="right"/>
              <w:spacing w:after="0"/>
              <w:rPr>
                <w:sz w:val="20"/>
                <w:szCs w:val="20"/>
                <w:color w:val="auto"/>
              </w:rPr>
            </w:pPr>
            <w:r>
              <w:rPr>
                <w:rFonts w:ascii="Arial" w:cs="Arial" w:eastAsia="Arial" w:hAnsi="Arial"/>
                <w:sz w:val="20"/>
                <w:szCs w:val="20"/>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020"/>
          </w:cols>
          <w:pgMar w:left="340" w:top="1440" w:right="5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80"/>
        </w:trPr>
        <w:tc>
          <w:tcPr>
            <w:tcW w:w="1920" w:type="dxa"/>
            <w:vAlign w:val="bottom"/>
          </w:tcPr>
          <w:p>
            <w:pPr>
              <w:spacing w:after="0"/>
              <w:rPr>
                <w:sz w:val="24"/>
                <w:szCs w:val="24"/>
                <w:color w:val="auto"/>
              </w:rPr>
            </w:pPr>
          </w:p>
        </w:tc>
        <w:tc>
          <w:tcPr>
            <w:tcW w:w="8380" w:type="dxa"/>
            <w:vAlign w:val="bottom"/>
          </w:tcPr>
          <w:p>
            <w:pPr>
              <w:jc w:val="center"/>
              <w:ind w:right="912"/>
              <w:spacing w:after="0"/>
              <w:rPr>
                <w:sz w:val="20"/>
                <w:szCs w:val="20"/>
                <w:color w:val="auto"/>
              </w:rPr>
            </w:pPr>
            <w:r>
              <w:rPr>
                <w:rFonts w:ascii="Arial" w:cs="Arial" w:eastAsia="Arial" w:hAnsi="Arial"/>
                <w:sz w:val="22"/>
                <w:szCs w:val="22"/>
                <w:b w:val="1"/>
                <w:bCs w:val="1"/>
                <w:color w:val="auto"/>
                <w:w w:val="98"/>
              </w:rPr>
              <w:t>BIOHAVEN LTD.</w:t>
            </w:r>
          </w:p>
        </w:tc>
      </w:tr>
      <w:tr>
        <w:trPr>
          <w:trHeight w:val="401"/>
        </w:trPr>
        <w:tc>
          <w:tcPr>
            <w:tcW w:w="1920" w:type="dxa"/>
            <w:vAlign w:val="bottom"/>
          </w:tcPr>
          <w:p>
            <w:pPr>
              <w:spacing w:after="0"/>
              <w:rPr>
                <w:sz w:val="24"/>
                <w:szCs w:val="24"/>
                <w:color w:val="auto"/>
              </w:rPr>
            </w:pPr>
          </w:p>
        </w:tc>
        <w:tc>
          <w:tcPr>
            <w:tcW w:w="8380" w:type="dxa"/>
            <w:vAlign w:val="bottom"/>
          </w:tcPr>
          <w:p>
            <w:pPr>
              <w:jc w:val="center"/>
              <w:ind w:right="892"/>
              <w:spacing w:after="0"/>
              <w:rPr>
                <w:sz w:val="20"/>
                <w:szCs w:val="20"/>
                <w:color w:val="auto"/>
              </w:rPr>
            </w:pPr>
            <w:r>
              <w:rPr>
                <w:rFonts w:ascii="Arial" w:cs="Arial" w:eastAsia="Arial" w:hAnsi="Arial"/>
                <w:sz w:val="22"/>
                <w:szCs w:val="22"/>
                <w:color w:val="auto"/>
                <w:w w:val="89"/>
              </w:rPr>
              <w:t>Reconciliation and tie between Trust Indenture Act of 1939 and</w:t>
            </w:r>
          </w:p>
        </w:tc>
      </w:tr>
      <w:tr>
        <w:trPr>
          <w:trHeight w:val="274"/>
        </w:trPr>
        <w:tc>
          <w:tcPr>
            <w:tcW w:w="1920" w:type="dxa"/>
            <w:vAlign w:val="bottom"/>
          </w:tcPr>
          <w:p>
            <w:pPr>
              <w:spacing w:after="0"/>
              <w:rPr>
                <w:sz w:val="23"/>
                <w:szCs w:val="23"/>
                <w:color w:val="auto"/>
              </w:rPr>
            </w:pPr>
          </w:p>
        </w:tc>
        <w:tc>
          <w:tcPr>
            <w:tcW w:w="8380" w:type="dxa"/>
            <w:vAlign w:val="bottom"/>
          </w:tcPr>
          <w:p>
            <w:pPr>
              <w:jc w:val="center"/>
              <w:ind w:right="912"/>
              <w:spacing w:after="0"/>
              <w:rPr>
                <w:sz w:val="20"/>
                <w:szCs w:val="20"/>
                <w:color w:val="auto"/>
              </w:rPr>
            </w:pPr>
            <w:r>
              <w:rPr>
                <w:rFonts w:ascii="Arial" w:cs="Arial" w:eastAsia="Arial" w:hAnsi="Arial"/>
                <w:sz w:val="22"/>
                <w:szCs w:val="22"/>
                <w:color w:val="auto"/>
                <w:w w:val="87"/>
              </w:rPr>
              <w:t>Indenture, dated as of ________, 20__</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 310(a)(1)</w:t>
            </w:r>
          </w:p>
        </w:tc>
        <w:tc>
          <w:tcPr>
            <w:tcW w:w="8380" w:type="dxa"/>
            <w:vAlign w:val="bottom"/>
          </w:tcPr>
          <w:p>
            <w:pPr>
              <w:ind w:left="7060"/>
              <w:spacing w:after="0"/>
              <w:rPr>
                <w:sz w:val="20"/>
                <w:szCs w:val="20"/>
                <w:color w:val="auto"/>
              </w:rPr>
            </w:pPr>
            <w:r>
              <w:rPr>
                <w:rFonts w:ascii="Arial" w:cs="Arial" w:eastAsia="Arial" w:hAnsi="Arial"/>
                <w:sz w:val="22"/>
                <w:szCs w:val="22"/>
                <w:color w:val="auto"/>
              </w:rPr>
              <w:t>7.10</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(a)(2)</w:t>
            </w:r>
          </w:p>
        </w:tc>
        <w:tc>
          <w:tcPr>
            <w:tcW w:w="8380" w:type="dxa"/>
            <w:vAlign w:val="bottom"/>
          </w:tcPr>
          <w:p>
            <w:pPr>
              <w:ind w:left="7060"/>
              <w:spacing w:after="0"/>
              <w:rPr>
                <w:sz w:val="20"/>
                <w:szCs w:val="20"/>
                <w:color w:val="auto"/>
              </w:rPr>
            </w:pPr>
            <w:r>
              <w:rPr>
                <w:rFonts w:ascii="Arial" w:cs="Arial" w:eastAsia="Arial" w:hAnsi="Arial"/>
                <w:sz w:val="22"/>
                <w:szCs w:val="22"/>
                <w:color w:val="auto"/>
              </w:rPr>
              <w:t>7.10</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(a)(3)</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(a)(4)</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(a)(5)</w:t>
            </w:r>
          </w:p>
        </w:tc>
        <w:tc>
          <w:tcPr>
            <w:tcW w:w="8380" w:type="dxa"/>
            <w:vAlign w:val="bottom"/>
          </w:tcPr>
          <w:p>
            <w:pPr>
              <w:ind w:left="7060"/>
              <w:spacing w:after="0"/>
              <w:rPr>
                <w:sz w:val="20"/>
                <w:szCs w:val="20"/>
                <w:color w:val="auto"/>
              </w:rPr>
            </w:pPr>
            <w:r>
              <w:rPr>
                <w:rFonts w:ascii="Arial" w:cs="Arial" w:eastAsia="Arial" w:hAnsi="Arial"/>
                <w:sz w:val="22"/>
                <w:szCs w:val="22"/>
                <w:color w:val="auto"/>
              </w:rPr>
              <w:t>7.10</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w:t>
            </w:r>
          </w:p>
        </w:tc>
        <w:tc>
          <w:tcPr>
            <w:tcW w:w="8380" w:type="dxa"/>
            <w:vAlign w:val="bottom"/>
          </w:tcPr>
          <w:p>
            <w:pPr>
              <w:ind w:left="7060"/>
              <w:spacing w:after="0"/>
              <w:rPr>
                <w:sz w:val="20"/>
                <w:szCs w:val="20"/>
                <w:color w:val="auto"/>
              </w:rPr>
            </w:pPr>
            <w:r>
              <w:rPr>
                <w:rFonts w:ascii="Arial" w:cs="Arial" w:eastAsia="Arial" w:hAnsi="Arial"/>
                <w:sz w:val="22"/>
                <w:szCs w:val="22"/>
                <w:color w:val="auto"/>
              </w:rPr>
              <w:t>7.10</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311(a)</w:t>
            </w:r>
          </w:p>
        </w:tc>
        <w:tc>
          <w:tcPr>
            <w:tcW w:w="8380" w:type="dxa"/>
            <w:vAlign w:val="bottom"/>
          </w:tcPr>
          <w:p>
            <w:pPr>
              <w:ind w:left="7060"/>
              <w:spacing w:after="0"/>
              <w:rPr>
                <w:sz w:val="20"/>
                <w:szCs w:val="20"/>
                <w:color w:val="auto"/>
              </w:rPr>
            </w:pPr>
            <w:r>
              <w:rPr>
                <w:rFonts w:ascii="Arial" w:cs="Arial" w:eastAsia="Arial" w:hAnsi="Arial"/>
                <w:sz w:val="22"/>
                <w:szCs w:val="22"/>
                <w:color w:val="auto"/>
              </w:rPr>
              <w:t>7.11</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w:t>
            </w:r>
          </w:p>
        </w:tc>
        <w:tc>
          <w:tcPr>
            <w:tcW w:w="8380" w:type="dxa"/>
            <w:vAlign w:val="bottom"/>
          </w:tcPr>
          <w:p>
            <w:pPr>
              <w:ind w:left="7060"/>
              <w:spacing w:after="0"/>
              <w:rPr>
                <w:sz w:val="20"/>
                <w:szCs w:val="20"/>
                <w:color w:val="auto"/>
              </w:rPr>
            </w:pPr>
            <w:r>
              <w:rPr>
                <w:rFonts w:ascii="Arial" w:cs="Arial" w:eastAsia="Arial" w:hAnsi="Arial"/>
                <w:sz w:val="22"/>
                <w:szCs w:val="22"/>
                <w:color w:val="auto"/>
              </w:rPr>
              <w:t>7.11</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312(a)</w:t>
            </w:r>
          </w:p>
        </w:tc>
        <w:tc>
          <w:tcPr>
            <w:tcW w:w="8380" w:type="dxa"/>
            <w:vAlign w:val="bottom"/>
          </w:tcPr>
          <w:p>
            <w:pPr>
              <w:ind w:left="7060"/>
              <w:spacing w:after="0"/>
              <w:rPr>
                <w:sz w:val="20"/>
                <w:szCs w:val="20"/>
                <w:color w:val="auto"/>
              </w:rPr>
            </w:pPr>
            <w:r>
              <w:rPr>
                <w:rFonts w:ascii="Arial" w:cs="Arial" w:eastAsia="Arial" w:hAnsi="Arial"/>
                <w:sz w:val="22"/>
                <w:szCs w:val="22"/>
                <w:color w:val="auto"/>
              </w:rPr>
              <w:t>2.6</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w:t>
            </w:r>
          </w:p>
        </w:tc>
        <w:tc>
          <w:tcPr>
            <w:tcW w:w="8380" w:type="dxa"/>
            <w:vAlign w:val="bottom"/>
          </w:tcPr>
          <w:p>
            <w:pPr>
              <w:ind w:left="7060"/>
              <w:spacing w:after="0"/>
              <w:rPr>
                <w:sz w:val="20"/>
                <w:szCs w:val="20"/>
                <w:color w:val="auto"/>
              </w:rPr>
            </w:pPr>
            <w:r>
              <w:rPr>
                <w:rFonts w:ascii="Arial" w:cs="Arial" w:eastAsia="Arial" w:hAnsi="Arial"/>
                <w:sz w:val="22"/>
                <w:szCs w:val="22"/>
                <w:color w:val="auto"/>
              </w:rPr>
              <w:t>10.3</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w:t>
            </w:r>
          </w:p>
        </w:tc>
        <w:tc>
          <w:tcPr>
            <w:tcW w:w="8380" w:type="dxa"/>
            <w:vAlign w:val="bottom"/>
          </w:tcPr>
          <w:p>
            <w:pPr>
              <w:ind w:left="7060"/>
              <w:spacing w:after="0"/>
              <w:rPr>
                <w:sz w:val="20"/>
                <w:szCs w:val="20"/>
                <w:color w:val="auto"/>
              </w:rPr>
            </w:pPr>
            <w:r>
              <w:rPr>
                <w:rFonts w:ascii="Arial" w:cs="Arial" w:eastAsia="Arial" w:hAnsi="Arial"/>
                <w:sz w:val="22"/>
                <w:szCs w:val="22"/>
                <w:color w:val="auto"/>
              </w:rPr>
              <w:t>10.3</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313(a)</w:t>
            </w:r>
          </w:p>
        </w:tc>
        <w:tc>
          <w:tcPr>
            <w:tcW w:w="8380" w:type="dxa"/>
            <w:vAlign w:val="bottom"/>
          </w:tcPr>
          <w:p>
            <w:pPr>
              <w:ind w:left="7060"/>
              <w:spacing w:after="0"/>
              <w:rPr>
                <w:sz w:val="20"/>
                <w:szCs w:val="20"/>
                <w:color w:val="auto"/>
              </w:rPr>
            </w:pPr>
            <w:r>
              <w:rPr>
                <w:rFonts w:ascii="Arial" w:cs="Arial" w:eastAsia="Arial" w:hAnsi="Arial"/>
                <w:sz w:val="22"/>
                <w:szCs w:val="22"/>
                <w:color w:val="auto"/>
              </w:rPr>
              <w:t>7.6</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(b)(1)</w:t>
            </w:r>
          </w:p>
        </w:tc>
        <w:tc>
          <w:tcPr>
            <w:tcW w:w="8380" w:type="dxa"/>
            <w:vAlign w:val="bottom"/>
          </w:tcPr>
          <w:p>
            <w:pPr>
              <w:ind w:left="7060"/>
              <w:spacing w:after="0"/>
              <w:rPr>
                <w:sz w:val="20"/>
                <w:szCs w:val="20"/>
                <w:color w:val="auto"/>
              </w:rPr>
            </w:pPr>
            <w:r>
              <w:rPr>
                <w:rFonts w:ascii="Arial" w:cs="Arial" w:eastAsia="Arial" w:hAnsi="Arial"/>
                <w:sz w:val="22"/>
                <w:szCs w:val="22"/>
                <w:color w:val="auto"/>
              </w:rPr>
              <w:t>7.6</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(b)(2)</w:t>
            </w:r>
          </w:p>
        </w:tc>
        <w:tc>
          <w:tcPr>
            <w:tcW w:w="8380" w:type="dxa"/>
            <w:vAlign w:val="bottom"/>
          </w:tcPr>
          <w:p>
            <w:pPr>
              <w:ind w:left="7060"/>
              <w:spacing w:after="0"/>
              <w:rPr>
                <w:sz w:val="20"/>
                <w:szCs w:val="20"/>
                <w:color w:val="auto"/>
              </w:rPr>
            </w:pPr>
            <w:r>
              <w:rPr>
                <w:rFonts w:ascii="Arial" w:cs="Arial" w:eastAsia="Arial" w:hAnsi="Arial"/>
                <w:sz w:val="22"/>
                <w:szCs w:val="22"/>
                <w:color w:val="auto"/>
              </w:rPr>
              <w:t>7.6</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(c)(1)</w:t>
            </w:r>
          </w:p>
        </w:tc>
        <w:tc>
          <w:tcPr>
            <w:tcW w:w="8380" w:type="dxa"/>
            <w:vAlign w:val="bottom"/>
          </w:tcPr>
          <w:p>
            <w:pPr>
              <w:ind w:left="7060"/>
              <w:spacing w:after="0"/>
              <w:rPr>
                <w:sz w:val="20"/>
                <w:szCs w:val="20"/>
                <w:color w:val="auto"/>
              </w:rPr>
            </w:pPr>
            <w:r>
              <w:rPr>
                <w:rFonts w:ascii="Arial" w:cs="Arial" w:eastAsia="Arial" w:hAnsi="Arial"/>
                <w:sz w:val="22"/>
                <w:szCs w:val="22"/>
                <w:color w:val="auto"/>
              </w:rPr>
              <w:t>7.6</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(d)</w:t>
            </w:r>
          </w:p>
        </w:tc>
        <w:tc>
          <w:tcPr>
            <w:tcW w:w="8380" w:type="dxa"/>
            <w:vAlign w:val="bottom"/>
          </w:tcPr>
          <w:p>
            <w:pPr>
              <w:ind w:left="7060"/>
              <w:spacing w:after="0"/>
              <w:rPr>
                <w:sz w:val="20"/>
                <w:szCs w:val="20"/>
                <w:color w:val="auto"/>
              </w:rPr>
            </w:pPr>
            <w:r>
              <w:rPr>
                <w:rFonts w:ascii="Arial" w:cs="Arial" w:eastAsia="Arial" w:hAnsi="Arial"/>
                <w:sz w:val="22"/>
                <w:szCs w:val="22"/>
                <w:color w:val="auto"/>
              </w:rPr>
              <w:t>7.6</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314(a)</w:t>
            </w:r>
          </w:p>
        </w:tc>
        <w:tc>
          <w:tcPr>
            <w:tcW w:w="8380" w:type="dxa"/>
            <w:vAlign w:val="bottom"/>
          </w:tcPr>
          <w:p>
            <w:pPr>
              <w:ind w:left="7060"/>
              <w:spacing w:after="0"/>
              <w:rPr>
                <w:sz w:val="20"/>
                <w:szCs w:val="20"/>
                <w:color w:val="auto"/>
              </w:rPr>
            </w:pPr>
            <w:r>
              <w:rPr>
                <w:rFonts w:ascii="Arial" w:cs="Arial" w:eastAsia="Arial" w:hAnsi="Arial"/>
                <w:sz w:val="22"/>
                <w:szCs w:val="22"/>
                <w:color w:val="auto"/>
              </w:rPr>
              <w:t>4.2, 10.5</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(c)(1)</w:t>
            </w:r>
          </w:p>
        </w:tc>
        <w:tc>
          <w:tcPr>
            <w:tcW w:w="8380" w:type="dxa"/>
            <w:vAlign w:val="bottom"/>
          </w:tcPr>
          <w:p>
            <w:pPr>
              <w:ind w:left="7060"/>
              <w:spacing w:after="0"/>
              <w:rPr>
                <w:sz w:val="20"/>
                <w:szCs w:val="20"/>
                <w:color w:val="auto"/>
              </w:rPr>
            </w:pPr>
            <w:r>
              <w:rPr>
                <w:rFonts w:ascii="Arial" w:cs="Arial" w:eastAsia="Arial" w:hAnsi="Arial"/>
                <w:sz w:val="22"/>
                <w:szCs w:val="22"/>
                <w:color w:val="auto"/>
              </w:rPr>
              <w:t>10.4</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(c)(2)</w:t>
            </w:r>
          </w:p>
        </w:tc>
        <w:tc>
          <w:tcPr>
            <w:tcW w:w="8380" w:type="dxa"/>
            <w:vAlign w:val="bottom"/>
          </w:tcPr>
          <w:p>
            <w:pPr>
              <w:ind w:left="7060"/>
              <w:spacing w:after="0"/>
              <w:rPr>
                <w:sz w:val="20"/>
                <w:szCs w:val="20"/>
                <w:color w:val="auto"/>
              </w:rPr>
            </w:pPr>
            <w:r>
              <w:rPr>
                <w:rFonts w:ascii="Arial" w:cs="Arial" w:eastAsia="Arial" w:hAnsi="Arial"/>
                <w:sz w:val="22"/>
                <w:szCs w:val="22"/>
                <w:color w:val="auto"/>
              </w:rPr>
              <w:t>10.4</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(c)(3)</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(d)</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(e)</w:t>
            </w:r>
          </w:p>
        </w:tc>
        <w:tc>
          <w:tcPr>
            <w:tcW w:w="8380" w:type="dxa"/>
            <w:vAlign w:val="bottom"/>
          </w:tcPr>
          <w:p>
            <w:pPr>
              <w:ind w:left="7060"/>
              <w:spacing w:after="0"/>
              <w:rPr>
                <w:sz w:val="20"/>
                <w:szCs w:val="20"/>
                <w:color w:val="auto"/>
              </w:rPr>
            </w:pPr>
            <w:r>
              <w:rPr>
                <w:rFonts w:ascii="Arial" w:cs="Arial" w:eastAsia="Arial" w:hAnsi="Arial"/>
                <w:sz w:val="22"/>
                <w:szCs w:val="22"/>
                <w:color w:val="auto"/>
              </w:rPr>
              <w:t>10.5</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(f)</w:t>
            </w:r>
          </w:p>
        </w:tc>
        <w:tc>
          <w:tcPr>
            <w:tcW w:w="8380" w:type="dxa"/>
            <w:vAlign w:val="bottom"/>
          </w:tcPr>
          <w:p>
            <w:pPr>
              <w:ind w:left="7060"/>
              <w:spacing w:after="0"/>
              <w:rPr>
                <w:sz w:val="20"/>
                <w:szCs w:val="20"/>
                <w:color w:val="auto"/>
              </w:rPr>
            </w:pPr>
            <w:r>
              <w:rPr>
                <w:rFonts w:ascii="Arial" w:cs="Arial" w:eastAsia="Arial" w:hAnsi="Arial"/>
                <w:sz w:val="22"/>
                <w:szCs w:val="22"/>
                <w:color w:val="auto"/>
                <w:w w:val="91"/>
              </w:rPr>
              <w:t>Not Applicable</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315(a)</w:t>
            </w:r>
          </w:p>
        </w:tc>
        <w:tc>
          <w:tcPr>
            <w:tcW w:w="8380" w:type="dxa"/>
            <w:vAlign w:val="bottom"/>
          </w:tcPr>
          <w:p>
            <w:pPr>
              <w:ind w:left="7060"/>
              <w:spacing w:after="0"/>
              <w:rPr>
                <w:sz w:val="20"/>
                <w:szCs w:val="20"/>
                <w:color w:val="auto"/>
              </w:rPr>
            </w:pPr>
            <w:r>
              <w:rPr>
                <w:rFonts w:ascii="Arial" w:cs="Arial" w:eastAsia="Arial" w:hAnsi="Arial"/>
                <w:sz w:val="22"/>
                <w:szCs w:val="22"/>
                <w:color w:val="auto"/>
              </w:rPr>
              <w:t>7.1</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w:t>
            </w:r>
          </w:p>
        </w:tc>
        <w:tc>
          <w:tcPr>
            <w:tcW w:w="8380" w:type="dxa"/>
            <w:vAlign w:val="bottom"/>
          </w:tcPr>
          <w:p>
            <w:pPr>
              <w:ind w:left="7060"/>
              <w:spacing w:after="0"/>
              <w:rPr>
                <w:sz w:val="20"/>
                <w:szCs w:val="20"/>
                <w:color w:val="auto"/>
              </w:rPr>
            </w:pPr>
            <w:r>
              <w:rPr>
                <w:rFonts w:ascii="Arial" w:cs="Arial" w:eastAsia="Arial" w:hAnsi="Arial"/>
                <w:sz w:val="22"/>
                <w:szCs w:val="22"/>
                <w:color w:val="auto"/>
              </w:rPr>
              <w:t>7.5</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(c)</w:t>
            </w:r>
          </w:p>
        </w:tc>
        <w:tc>
          <w:tcPr>
            <w:tcW w:w="8380" w:type="dxa"/>
            <w:vAlign w:val="bottom"/>
          </w:tcPr>
          <w:p>
            <w:pPr>
              <w:ind w:left="7060"/>
              <w:spacing w:after="0"/>
              <w:rPr>
                <w:sz w:val="20"/>
                <w:szCs w:val="20"/>
                <w:color w:val="auto"/>
              </w:rPr>
            </w:pPr>
            <w:r>
              <w:rPr>
                <w:rFonts w:ascii="Arial" w:cs="Arial" w:eastAsia="Arial" w:hAnsi="Arial"/>
                <w:sz w:val="22"/>
                <w:szCs w:val="22"/>
                <w:color w:val="auto"/>
              </w:rPr>
              <w:t>7.1</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(d)</w:t>
            </w:r>
          </w:p>
        </w:tc>
        <w:tc>
          <w:tcPr>
            <w:tcW w:w="8380" w:type="dxa"/>
            <w:vAlign w:val="bottom"/>
          </w:tcPr>
          <w:p>
            <w:pPr>
              <w:ind w:left="7060"/>
              <w:spacing w:after="0"/>
              <w:rPr>
                <w:sz w:val="20"/>
                <w:szCs w:val="20"/>
                <w:color w:val="auto"/>
              </w:rPr>
            </w:pPr>
            <w:r>
              <w:rPr>
                <w:rFonts w:ascii="Arial" w:cs="Arial" w:eastAsia="Arial" w:hAnsi="Arial"/>
                <w:sz w:val="22"/>
                <w:szCs w:val="22"/>
                <w:color w:val="auto"/>
              </w:rPr>
              <w:t>7.1</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(e)</w:t>
            </w:r>
          </w:p>
        </w:tc>
        <w:tc>
          <w:tcPr>
            <w:tcW w:w="8380" w:type="dxa"/>
            <w:vAlign w:val="bottom"/>
          </w:tcPr>
          <w:p>
            <w:pPr>
              <w:ind w:left="7060"/>
              <w:spacing w:after="0"/>
              <w:rPr>
                <w:sz w:val="20"/>
                <w:szCs w:val="20"/>
                <w:color w:val="auto"/>
              </w:rPr>
            </w:pPr>
            <w:r>
              <w:rPr>
                <w:rFonts w:ascii="Arial" w:cs="Arial" w:eastAsia="Arial" w:hAnsi="Arial"/>
                <w:sz w:val="22"/>
                <w:szCs w:val="22"/>
                <w:color w:val="auto"/>
              </w:rPr>
              <w:t>6.14</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316(a)</w:t>
            </w:r>
          </w:p>
        </w:tc>
        <w:tc>
          <w:tcPr>
            <w:tcW w:w="8380" w:type="dxa"/>
            <w:vAlign w:val="bottom"/>
          </w:tcPr>
          <w:p>
            <w:pPr>
              <w:ind w:left="7060"/>
              <w:spacing w:after="0"/>
              <w:rPr>
                <w:sz w:val="20"/>
                <w:szCs w:val="20"/>
                <w:color w:val="auto"/>
              </w:rPr>
            </w:pPr>
            <w:r>
              <w:rPr>
                <w:rFonts w:ascii="Arial" w:cs="Arial" w:eastAsia="Arial" w:hAnsi="Arial"/>
                <w:sz w:val="22"/>
                <w:szCs w:val="22"/>
                <w:color w:val="auto"/>
              </w:rPr>
              <w:t>2.10</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(a)(1)(A)</w:t>
            </w:r>
          </w:p>
        </w:tc>
        <w:tc>
          <w:tcPr>
            <w:tcW w:w="8380" w:type="dxa"/>
            <w:vAlign w:val="bottom"/>
          </w:tcPr>
          <w:p>
            <w:pPr>
              <w:ind w:left="7060"/>
              <w:spacing w:after="0"/>
              <w:rPr>
                <w:sz w:val="20"/>
                <w:szCs w:val="20"/>
                <w:color w:val="auto"/>
              </w:rPr>
            </w:pPr>
            <w:r>
              <w:rPr>
                <w:rFonts w:ascii="Arial" w:cs="Arial" w:eastAsia="Arial" w:hAnsi="Arial"/>
                <w:sz w:val="22"/>
                <w:szCs w:val="22"/>
                <w:color w:val="auto"/>
              </w:rPr>
              <w:t>6.12</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(a)(1)(B)</w:t>
            </w:r>
          </w:p>
        </w:tc>
        <w:tc>
          <w:tcPr>
            <w:tcW w:w="8380" w:type="dxa"/>
            <w:vAlign w:val="bottom"/>
          </w:tcPr>
          <w:p>
            <w:pPr>
              <w:ind w:left="7060"/>
              <w:spacing w:after="0"/>
              <w:rPr>
                <w:sz w:val="20"/>
                <w:szCs w:val="20"/>
                <w:color w:val="auto"/>
              </w:rPr>
            </w:pPr>
            <w:r>
              <w:rPr>
                <w:rFonts w:ascii="Arial" w:cs="Arial" w:eastAsia="Arial" w:hAnsi="Arial"/>
                <w:sz w:val="22"/>
                <w:szCs w:val="22"/>
                <w:color w:val="auto"/>
              </w:rPr>
              <w:t>6.13</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(b)</w:t>
            </w:r>
          </w:p>
        </w:tc>
        <w:tc>
          <w:tcPr>
            <w:tcW w:w="8380" w:type="dxa"/>
            <w:vAlign w:val="bottom"/>
          </w:tcPr>
          <w:p>
            <w:pPr>
              <w:ind w:left="7060"/>
              <w:spacing w:after="0"/>
              <w:rPr>
                <w:sz w:val="20"/>
                <w:szCs w:val="20"/>
                <w:color w:val="auto"/>
              </w:rPr>
            </w:pPr>
            <w:r>
              <w:rPr>
                <w:rFonts w:ascii="Arial" w:cs="Arial" w:eastAsia="Arial" w:hAnsi="Arial"/>
                <w:sz w:val="22"/>
                <w:szCs w:val="22"/>
                <w:color w:val="auto"/>
              </w:rPr>
              <w:t>6.8</w:t>
            </w:r>
          </w:p>
        </w:tc>
      </w:tr>
      <w:tr>
        <w:trPr>
          <w:trHeight w:val="270"/>
        </w:trPr>
        <w:tc>
          <w:tcPr>
            <w:tcW w:w="1920" w:type="dxa"/>
            <w:vAlign w:val="bottom"/>
          </w:tcPr>
          <w:p>
            <w:pPr>
              <w:spacing w:after="0"/>
              <w:rPr>
                <w:sz w:val="20"/>
                <w:szCs w:val="20"/>
                <w:color w:val="auto"/>
              </w:rPr>
            </w:pPr>
            <w:r>
              <w:rPr>
                <w:rFonts w:ascii="Arial" w:cs="Arial" w:eastAsia="Arial" w:hAnsi="Arial"/>
                <w:sz w:val="22"/>
                <w:szCs w:val="22"/>
                <w:color w:val="auto"/>
              </w:rPr>
              <w:t>§ 317(a)(1)</w:t>
            </w:r>
          </w:p>
        </w:tc>
        <w:tc>
          <w:tcPr>
            <w:tcW w:w="8380" w:type="dxa"/>
            <w:vAlign w:val="bottom"/>
          </w:tcPr>
          <w:p>
            <w:pPr>
              <w:ind w:left="7060"/>
              <w:spacing w:after="0"/>
              <w:rPr>
                <w:sz w:val="20"/>
                <w:szCs w:val="20"/>
                <w:color w:val="auto"/>
              </w:rPr>
            </w:pPr>
            <w:r>
              <w:rPr>
                <w:rFonts w:ascii="Arial" w:cs="Arial" w:eastAsia="Arial" w:hAnsi="Arial"/>
                <w:sz w:val="22"/>
                <w:szCs w:val="22"/>
                <w:color w:val="auto"/>
              </w:rPr>
              <w:t>6.3</w:t>
            </w:r>
          </w:p>
        </w:tc>
      </w:tr>
      <w:tr>
        <w:trPr>
          <w:trHeight w:val="274"/>
        </w:trPr>
        <w:tc>
          <w:tcPr>
            <w:tcW w:w="1920" w:type="dxa"/>
            <w:vAlign w:val="bottom"/>
          </w:tcPr>
          <w:p>
            <w:pPr>
              <w:spacing w:after="0"/>
              <w:rPr>
                <w:sz w:val="20"/>
                <w:szCs w:val="20"/>
                <w:color w:val="auto"/>
              </w:rPr>
            </w:pPr>
            <w:r>
              <w:rPr>
                <w:rFonts w:ascii="Arial" w:cs="Arial" w:eastAsia="Arial" w:hAnsi="Arial"/>
                <w:sz w:val="22"/>
                <w:szCs w:val="22"/>
                <w:color w:val="auto"/>
              </w:rPr>
              <w:t>(a)(2)</w:t>
            </w:r>
          </w:p>
        </w:tc>
        <w:tc>
          <w:tcPr>
            <w:tcW w:w="8380" w:type="dxa"/>
            <w:vAlign w:val="bottom"/>
          </w:tcPr>
          <w:p>
            <w:pPr>
              <w:ind w:left="7060"/>
              <w:spacing w:after="0"/>
              <w:rPr>
                <w:sz w:val="20"/>
                <w:szCs w:val="20"/>
                <w:color w:val="auto"/>
              </w:rPr>
            </w:pPr>
            <w:r>
              <w:rPr>
                <w:rFonts w:ascii="Arial" w:cs="Arial" w:eastAsia="Arial" w:hAnsi="Arial"/>
                <w:sz w:val="22"/>
                <w:szCs w:val="22"/>
                <w:color w:val="auto"/>
              </w:rPr>
              <w:t>6.4</w:t>
            </w:r>
          </w:p>
        </w:tc>
      </w:tr>
    </w:tbl>
    <w:p>
      <w:pPr>
        <w:spacing w:after="0" w:line="200" w:lineRule="exact"/>
        <w:rPr>
          <w:sz w:val="20"/>
          <w:szCs w:val="20"/>
          <w:color w:val="auto"/>
        </w:rPr>
      </w:pPr>
    </w:p>
    <w:p>
      <w:pPr>
        <w:sectPr>
          <w:pgSz w:w="11900" w:h="16838" w:orient="portrait"/>
          <w:cols w:equalWidth="0" w:num="1">
            <w:col w:w="10300"/>
          </w:cols>
          <w:pgMar w:left="340" w:top="142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0300"/>
          </w:cols>
          <w:pgMar w:left="340" w:top="1422" w:right="1259" w:bottom="1440" w:gutter="0" w:footer="0" w:header="0"/>
          <w:type w:val="continuous"/>
        </w:sectPr>
      </w:pPr>
    </w:p>
    <w:bookmarkStart w:id="57" w:name="page58"/>
    <w:bookmarkEnd w:id="57"/>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860" w:type="dxa"/>
            <w:vAlign w:val="bottom"/>
          </w:tcPr>
          <w:p>
            <w:pPr>
              <w:spacing w:after="0"/>
              <w:rPr>
                <w:sz w:val="20"/>
                <w:szCs w:val="20"/>
                <w:color w:val="auto"/>
              </w:rPr>
            </w:pPr>
            <w:r>
              <w:rPr>
                <w:rFonts w:ascii="Arial" w:cs="Arial" w:eastAsia="Arial" w:hAnsi="Arial"/>
                <w:sz w:val="22"/>
                <w:szCs w:val="22"/>
                <w:color w:val="auto"/>
              </w:rPr>
              <w:t>(b)</w:t>
            </w:r>
          </w:p>
        </w:tc>
        <w:tc>
          <w:tcPr>
            <w:tcW w:w="4500" w:type="dxa"/>
            <w:vAlign w:val="bottom"/>
          </w:tcPr>
          <w:p>
            <w:pPr>
              <w:ind w:left="4120"/>
              <w:spacing w:after="0"/>
              <w:rPr>
                <w:sz w:val="20"/>
                <w:szCs w:val="20"/>
                <w:color w:val="auto"/>
              </w:rPr>
            </w:pPr>
            <w:r>
              <w:rPr>
                <w:rFonts w:ascii="Arial" w:cs="Arial" w:eastAsia="Arial" w:hAnsi="Arial"/>
                <w:sz w:val="22"/>
                <w:szCs w:val="22"/>
                <w:color w:val="auto"/>
              </w:rPr>
              <w:t>2.5</w:t>
            </w:r>
          </w:p>
        </w:tc>
      </w:tr>
      <w:tr>
        <w:trPr>
          <w:trHeight w:val="274"/>
        </w:trPr>
        <w:tc>
          <w:tcPr>
            <w:tcW w:w="4860" w:type="dxa"/>
            <w:vAlign w:val="bottom"/>
          </w:tcPr>
          <w:p>
            <w:pPr>
              <w:spacing w:after="0"/>
              <w:rPr>
                <w:sz w:val="20"/>
                <w:szCs w:val="20"/>
                <w:color w:val="auto"/>
              </w:rPr>
            </w:pPr>
            <w:r>
              <w:rPr>
                <w:rFonts w:ascii="Arial" w:cs="Arial" w:eastAsia="Arial" w:hAnsi="Arial"/>
                <w:sz w:val="22"/>
                <w:szCs w:val="22"/>
                <w:color w:val="auto"/>
              </w:rPr>
              <w:t>§ 318(a)</w:t>
            </w:r>
          </w:p>
        </w:tc>
        <w:tc>
          <w:tcPr>
            <w:tcW w:w="4500" w:type="dxa"/>
            <w:vAlign w:val="bottom"/>
          </w:tcPr>
          <w:p>
            <w:pPr>
              <w:ind w:left="4120"/>
              <w:spacing w:after="0"/>
              <w:rPr>
                <w:sz w:val="20"/>
                <w:szCs w:val="20"/>
                <w:color w:val="auto"/>
              </w:rPr>
            </w:pPr>
            <w:r>
              <w:rPr>
                <w:rFonts w:ascii="Arial" w:cs="Arial" w:eastAsia="Arial" w:hAnsi="Arial"/>
                <w:sz w:val="22"/>
                <w:szCs w:val="22"/>
                <w:color w:val="auto"/>
                <w:w w:val="83"/>
              </w:rPr>
              <w:t>10.1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Note: This reconciliation and tie shall not, for any purpose, be deemed to be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139"/>
          </w:cols>
          <w:pgMar w:left="320" w:top="1440" w:right="1440" w:bottom="1440" w:gutter="0" w:footer="0" w:header="0"/>
        </w:sectPr>
      </w:pPr>
    </w:p>
    <w:bookmarkStart w:id="58" w:name="page59"/>
    <w:bookmarkEnd w:id="58"/>
    <w:p>
      <w:pPr>
        <w:ind w:left="1300"/>
        <w:spacing w:after="0"/>
        <w:rPr>
          <w:sz w:val="20"/>
          <w:szCs w:val="20"/>
          <w:color w:val="auto"/>
        </w:rPr>
      </w:pPr>
      <w:r>
        <w:rPr>
          <w:rFonts w:ascii="Arial" w:cs="Arial" w:eastAsia="Arial" w:hAnsi="Arial"/>
          <w:sz w:val="19"/>
          <w:szCs w:val="19"/>
          <w:color w:val="auto"/>
        </w:rPr>
        <w:t>Indenture, dated as of ________, 20____, between BIOHAVEN LTD., a company formed under the laws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Territory of the British Virgin Islands (“</w:t>
      </w:r>
      <w:r>
        <w:rPr>
          <w:rFonts w:ascii="Arial" w:cs="Arial" w:eastAsia="Arial" w:hAnsi="Arial"/>
          <w:sz w:val="22"/>
          <w:szCs w:val="22"/>
          <w:i w:val="1"/>
          <w:iCs w:val="1"/>
          <w:color w:val="auto"/>
        </w:rPr>
        <w:t>Company</w:t>
      </w:r>
      <w:r>
        <w:rPr>
          <w:rFonts w:ascii="Arial" w:cs="Arial" w:eastAsia="Arial" w:hAnsi="Arial"/>
          <w:sz w:val="22"/>
          <w:szCs w:val="22"/>
          <w:color w:val="auto"/>
        </w:rPr>
        <w:t>”), and [ ]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4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Each party agrees as follows for the benefit of the other party and for the equal and ratable benefit of the Holders of the Securities issued under this Indenture.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w:t>
      </w:r>
    </w:p>
    <w:p>
      <w:pPr>
        <w:spacing w:after="0" w:line="58"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DEFINITIONS AND INCORPORATION BY REFERENCE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u w:val="single" w:color="auto"/>
          <w:color w:val="000000"/>
        </w:rPr>
        <w:t>Definitions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Notice Agent.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 of Directors</w:t>
      </w:r>
      <w:r>
        <w:rPr>
          <w:rFonts w:ascii="Arial" w:cs="Arial" w:eastAsia="Arial" w:hAnsi="Arial"/>
          <w:sz w:val="19"/>
          <w:szCs w:val="19"/>
          <w:color w:val="auto"/>
        </w:rPr>
        <w:t>” means the board of directors of the Company or any duly authorized committee thereof.</w:t>
      </w:r>
    </w:p>
    <w:p>
      <w:pPr>
        <w:spacing w:after="0" w:line="20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Resolution</w:t>
      </w:r>
      <w:r>
        <w:rPr>
          <w:rFonts w:ascii="Arial" w:cs="Arial" w:eastAsia="Arial" w:hAnsi="Arial"/>
          <w:sz w:val="22"/>
          <w:szCs w:val="22"/>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unless otherwise provided by Board Resolution, Officer’s Certificate or supplemental indenture hereto for a particular Series, any day except a Saturday, Sunday or a legal holiday in The City of New York (or in connection with any payment, the place of payment) on which banking institutions are authorized or required by law, regulation or executive order to close.</w:t>
      </w:r>
    </w:p>
    <w:p>
      <w:pPr>
        <w:spacing w:after="0" w:line="14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 any and all shares, interests, participations, rights or other equivalents (however designated) of corporate stock.</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the party named as such above until a successor, which duly assumes the obligations under the Indenture, replaces it and thereafter means the successor.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Order</w:t>
      </w:r>
      <w:r>
        <w:rPr>
          <w:rFonts w:ascii="Arial" w:cs="Arial" w:eastAsia="Arial" w:hAnsi="Arial"/>
          <w:sz w:val="22"/>
          <w:szCs w:val="22"/>
          <w:color w:val="auto"/>
        </w:rPr>
        <w:t>” means a written order signed in the name of the Company by an Officer.</w:t>
      </w:r>
    </w:p>
    <w:p>
      <w:pPr>
        <w:sectPr>
          <w:pgSz w:w="11900" w:h="16838" w:orient="portrait"/>
          <w:cols w:equalWidth="0" w:num="1">
            <w:col w:w="11240"/>
          </w:cols>
          <w:pgMar w:left="320" w:top="1428" w:right="339" w:bottom="1440" w:gutter="0" w:footer="0" w:header="0"/>
        </w:sectPr>
      </w:pPr>
    </w:p>
    <w:bookmarkStart w:id="59" w:name="page60"/>
    <w:bookmarkEnd w:id="59"/>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w:t>
      </w:r>
      <w:r>
        <w:rPr>
          <w:rFonts w:ascii="Arial" w:cs="Arial" w:eastAsia="Arial" w:hAnsi="Arial"/>
          <w:sz w:val="22"/>
          <w:szCs w:val="22"/>
          <w:color w:val="auto"/>
        </w:rPr>
        <w:t>” means the office of the Trustee at which at any particular time its corporate trust business related to this Indenture shall be principally administered.</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which is, or after notice or passage of time or both would be, an Event of Default.</w:t>
      </w:r>
    </w:p>
    <w:p>
      <w:pPr>
        <w:spacing w:after="0" w:line="214"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Depositary</w:t>
      </w:r>
      <w:r>
        <w:rPr>
          <w:rFonts w:ascii="Arial" w:cs="Arial" w:eastAsia="Arial" w:hAnsi="Arial"/>
          <w:sz w:val="19"/>
          <w:szCs w:val="19"/>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88"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Discount Security</w:t>
      </w:r>
      <w:r>
        <w:rPr>
          <w:rFonts w:ascii="Arial" w:cs="Arial" w:eastAsia="Arial" w:hAnsi="Arial"/>
          <w:sz w:val="21"/>
          <w:szCs w:val="21"/>
          <w:color w:val="auto"/>
        </w:rPr>
        <w:t>” means any Security that provides for an amount less than the stated principal amount thereof to be due and payable upon declaration of acceleration of the maturity thereof pursuant to Section 6.2.</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Dollars</w:t>
      </w:r>
      <w:r>
        <w:rPr>
          <w:rFonts w:ascii="Arial" w:cs="Arial" w:eastAsia="Arial" w:hAnsi="Arial"/>
          <w:sz w:val="22"/>
          <w:szCs w:val="22"/>
          <w:color w:val="auto"/>
        </w:rPr>
        <w:t>” and “</w:t>
      </w:r>
      <w:r>
        <w:rPr>
          <w:rFonts w:ascii="Arial" w:cs="Arial" w:eastAsia="Arial" w:hAnsi="Arial"/>
          <w:sz w:val="22"/>
          <w:szCs w:val="22"/>
          <w:i w:val="1"/>
          <w:iCs w:val="1"/>
          <w:color w:val="auto"/>
        </w:rPr>
        <w:t>$</w:t>
      </w:r>
      <w:r>
        <w:rPr>
          <w:rFonts w:ascii="Arial" w:cs="Arial" w:eastAsia="Arial" w:hAnsi="Arial"/>
          <w:sz w:val="22"/>
          <w:szCs w:val="22"/>
          <w:color w:val="auto"/>
        </w:rPr>
        <w:t>” means the currency of The United States of America.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Currency</w:t>
      </w:r>
      <w:r>
        <w:rPr>
          <w:rFonts w:ascii="Arial" w:cs="Arial" w:eastAsia="Arial" w:hAnsi="Arial"/>
          <w:sz w:val="22"/>
          <w:szCs w:val="22"/>
          <w:color w:val="auto"/>
        </w:rPr>
        <w:t>” means any currency or currency unit issued by a government other than the government of The United States of America.</w:t>
      </w:r>
    </w:p>
    <w:p>
      <w:pPr>
        <w:spacing w:after="0" w:line="12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Government Obligations</w:t>
      </w:r>
      <w:r>
        <w:rPr>
          <w:rFonts w:ascii="Arial" w:cs="Arial" w:eastAsia="Arial" w:hAnsi="Arial"/>
          <w:sz w:val="22"/>
          <w:szCs w:val="22"/>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31"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Security</w:t>
      </w:r>
      <w:r>
        <w:rPr>
          <w:rFonts w:ascii="Arial" w:cs="Arial" w:eastAsia="Arial" w:hAnsi="Arial"/>
          <w:sz w:val="22"/>
          <w:szCs w:val="22"/>
          <w:color w:val="auto"/>
        </w:rPr>
        <w:t>” or “</w:t>
      </w:r>
      <w:r>
        <w:rPr>
          <w:rFonts w:ascii="Arial" w:cs="Arial" w:eastAsia="Arial" w:hAnsi="Arial"/>
          <w:sz w:val="22"/>
          <w:szCs w:val="22"/>
          <w:i w:val="1"/>
          <w:iCs w:val="1"/>
          <w:color w:val="auto"/>
        </w:rPr>
        <w:t>Global Securities</w:t>
      </w:r>
      <w:r>
        <w:rPr>
          <w:rFonts w:ascii="Arial" w:cs="Arial" w:eastAsia="Arial" w:hAnsi="Arial"/>
          <w:sz w:val="22"/>
          <w:szCs w:val="22"/>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or “</w:t>
      </w:r>
      <w:r>
        <w:rPr>
          <w:rFonts w:ascii="Arial" w:cs="Arial" w:eastAsia="Arial" w:hAnsi="Arial"/>
          <w:sz w:val="22"/>
          <w:szCs w:val="22"/>
          <w:i w:val="1"/>
          <w:iCs w:val="1"/>
          <w:color w:val="auto"/>
        </w:rPr>
        <w:t>Securityholder</w:t>
      </w:r>
      <w:r>
        <w:rPr>
          <w:rFonts w:ascii="Arial" w:cs="Arial" w:eastAsia="Arial" w:hAnsi="Arial"/>
          <w:sz w:val="22"/>
          <w:szCs w:val="22"/>
          <w:color w:val="auto"/>
        </w:rPr>
        <w:t>” means a person in whose name a Security is registered.</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 and shall include the form and terms of particular Series of Securities established as contemplated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0" w:name="page61"/>
    <w:bookmarkEnd w:id="60"/>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w:t>
      </w:r>
      <w:r>
        <w:rPr>
          <w:rFonts w:ascii="Arial" w:cs="Arial" w:eastAsia="Arial" w:hAnsi="Arial"/>
          <w:sz w:val="22"/>
          <w:szCs w:val="22"/>
          <w:color w:val="auto"/>
        </w:rPr>
        <w:t>” means, with respect to any Security, any interest on such Security, and with respect to any Discount Security which by its terms bears interest only after Maturity, means interest payable after Maturity.</w:t>
      </w:r>
    </w:p>
    <w:p>
      <w:pPr>
        <w:spacing w:after="0" w:line="12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w:t>
      </w:r>
      <w:r>
        <w:rPr>
          <w:rFonts w:ascii="Arial" w:cs="Arial" w:eastAsia="Arial" w:hAnsi="Arial"/>
          <w:sz w:val="22"/>
          <w:szCs w:val="22"/>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 the Chief Executive Officer, President, the Chief Financial Officer, the Treasurer or any Assistant Treasurer, the Secretary or any Assistant Secretary, and any Vice President of the Company.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by any Officer and delivered to the Trustee.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Opinion of Counsel</w:t>
      </w:r>
      <w:r>
        <w:rPr>
          <w:rFonts w:ascii="Arial" w:cs="Arial" w:eastAsia="Arial" w:hAnsi="Arial"/>
          <w:sz w:val="19"/>
          <w:szCs w:val="19"/>
          <w:color w:val="auto"/>
        </w:rPr>
        <w:t>” means a written opinion of legal counsel. The counsel may be an employee of or counsel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148"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means any individual, corporation, partnership, joint venture, association, limited liability company, joint-stock company, trust, unincorporated organization or government or any agency or political subdivision thereof.</w:t>
      </w:r>
    </w:p>
    <w:p>
      <w:pPr>
        <w:spacing w:after="0" w:line="5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of a Security means the principal of the Security plus, when appropriate, the premium, if any, on, and any Additional Amounts in respect of, the Security.</w:t>
      </w:r>
    </w:p>
    <w:p>
      <w:pPr>
        <w:spacing w:after="0" w:line="1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 and who shall have direct responsibility for the administration of this Indenture.</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17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w:t>
      </w:r>
      <w:r>
        <w:rPr>
          <w:rFonts w:ascii="Arial" w:cs="Arial" w:eastAsia="Arial" w:hAnsi="Arial"/>
          <w:sz w:val="22"/>
          <w:szCs w:val="22"/>
          <w:color w:val="auto"/>
        </w:rPr>
        <w:t>” means the debentures, notes or other debt instruments of the Company of any Series authenticated and delivered under this Indenture.</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Series</w:t>
      </w:r>
      <w:r>
        <w:rPr>
          <w:rFonts w:ascii="Arial" w:cs="Arial" w:eastAsia="Arial" w:hAnsi="Arial"/>
          <w:sz w:val="22"/>
          <w:szCs w:val="22"/>
          <w:color w:val="auto"/>
        </w:rPr>
        <w:t>” or “</w:t>
      </w:r>
      <w:r>
        <w:rPr>
          <w:rFonts w:ascii="Arial" w:cs="Arial" w:eastAsia="Arial" w:hAnsi="Arial"/>
          <w:sz w:val="22"/>
          <w:szCs w:val="22"/>
          <w:i w:val="1"/>
          <w:iCs w:val="1"/>
          <w:color w:val="auto"/>
        </w:rPr>
        <w:t>Series of Securities</w:t>
      </w:r>
      <w:r>
        <w:rPr>
          <w:rFonts w:ascii="Arial" w:cs="Arial" w:eastAsia="Arial" w:hAnsi="Arial"/>
          <w:sz w:val="22"/>
          <w:szCs w:val="22"/>
          <w:color w:val="auto"/>
        </w:rPr>
        <w:t>” means each series of debentures, notes or other debt instruments of the Company created pursuant to Sections 2.1 and 2.2.</w:t>
      </w:r>
    </w:p>
    <w:p>
      <w:pPr>
        <w:spacing w:after="0" w:line="12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when used with respect to any Security, means the date specified in such Security as the fixed date on which the principal of such Security or interest is due and payable.</w:t>
      </w:r>
    </w:p>
    <w:p>
      <w:pPr>
        <w:spacing w:after="0" w:line="107"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Subsidiary</w:t>
      </w:r>
      <w:r>
        <w:rPr>
          <w:rFonts w:ascii="Arial" w:cs="Arial" w:eastAsia="Arial" w:hAnsi="Arial"/>
          <w:sz w:val="21"/>
          <w:szCs w:val="21"/>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1" w:name="page62"/>
    <w:bookmarkEnd w:id="61"/>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 xml:space="preserve">” means the Trust Indenture Act of 1939 (15 U.S. Code §§ 77aaa-77bbbb) as in effect on the date of this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the Trust Indenture Act of 1939 is amended after such date, “TIA” means, to the extent required by any such amendment, the Trust Indenture Act as so amended.</w:t>
      </w:r>
    </w:p>
    <w:p>
      <w:pPr>
        <w:spacing w:after="0" w:line="14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8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 Government Obligations</w:t>
      </w:r>
      <w:r>
        <w:rPr>
          <w:rFonts w:ascii="Arial" w:cs="Arial" w:eastAsia="Arial" w:hAnsi="Arial"/>
          <w:sz w:val="19"/>
          <w:szCs w:val="19"/>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Other Definitions</w:t>
      </w:r>
      <w:r>
        <w:rPr>
          <w:rFonts w:ascii="Arial" w:cs="Arial" w:eastAsia="Arial" w:hAnsi="Arial"/>
          <w:sz w:val="22"/>
          <w:szCs w:val="22"/>
          <w:color w:val="000000"/>
        </w:rPr>
        <w:t>.</w:t>
      </w:r>
    </w:p>
    <w:p>
      <w:pPr>
        <w:spacing w:after="0" w:line="204"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780" w:type="dxa"/>
            <w:vAlign w:val="bottom"/>
            <w:gridSpan w:val="3"/>
          </w:tcPr>
          <w:p>
            <w:pPr>
              <w:jc w:val="center"/>
              <w:ind w:left="1513"/>
              <w:spacing w:after="0"/>
              <w:rPr>
                <w:sz w:val="20"/>
                <w:szCs w:val="20"/>
                <w:color w:val="auto"/>
              </w:rPr>
            </w:pPr>
            <w:r>
              <w:rPr>
                <w:rFonts w:ascii="Arial" w:cs="Arial" w:eastAsia="Arial" w:hAnsi="Arial"/>
                <w:sz w:val="20"/>
                <w:szCs w:val="20"/>
                <w:b w:val="1"/>
                <w:bCs w:val="1"/>
                <w:color w:val="auto"/>
              </w:rPr>
              <w:t>DEFINED IN</w:t>
            </w:r>
          </w:p>
        </w:tc>
      </w:tr>
      <w:tr>
        <w:trPr>
          <w:trHeight w:val="212"/>
        </w:trPr>
        <w:tc>
          <w:tcPr>
            <w:tcW w:w="4640" w:type="dxa"/>
            <w:vAlign w:val="bottom"/>
            <w:gridSpan w:val="2"/>
          </w:tcPr>
          <w:p>
            <w:pPr>
              <w:spacing w:after="0" w:line="206" w:lineRule="exact"/>
              <w:rPr>
                <w:sz w:val="20"/>
                <w:szCs w:val="20"/>
                <w:color w:val="auto"/>
              </w:rPr>
            </w:pPr>
            <w:r>
              <w:rPr>
                <w:rFonts w:ascii="Arial" w:cs="Arial" w:eastAsia="Arial" w:hAnsi="Arial"/>
                <w:sz w:val="20"/>
                <w:szCs w:val="20"/>
                <w:b w:val="1"/>
                <w:bCs w:val="1"/>
                <w:color w:val="auto"/>
              </w:rPr>
              <w:t>TERM</w:t>
            </w:r>
          </w:p>
        </w:tc>
        <w:tc>
          <w:tcPr>
            <w:tcW w:w="174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20"/>
                <w:szCs w:val="20"/>
                <w:b w:val="1"/>
                <w:bCs w:val="1"/>
                <w:color w:val="auto"/>
              </w:rPr>
              <w:t>SECTION</w:t>
            </w:r>
          </w:p>
        </w:tc>
        <w:tc>
          <w:tcPr>
            <w:tcW w:w="140" w:type="dxa"/>
            <w:vAlign w:val="bottom"/>
          </w:tcPr>
          <w:p>
            <w:pPr>
              <w:spacing w:after="0"/>
              <w:rPr>
                <w:sz w:val="18"/>
                <w:szCs w:val="18"/>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3"/>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6.1</w:t>
            </w:r>
          </w:p>
        </w:tc>
        <w:tc>
          <w:tcPr>
            <w:tcW w:w="140" w:type="dxa"/>
            <w:vAlign w:val="bottom"/>
          </w:tcPr>
          <w:p>
            <w:pPr>
              <w:spacing w:after="0"/>
              <w:rPr>
                <w:sz w:val="24"/>
                <w:szCs w:val="24"/>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Custodian</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6.1</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6.1</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90"/>
              </w:rPr>
              <w:t>10.16</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8"/>
              </w:rPr>
              <w:t>10.7</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mandatory sinking fund payment</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8"/>
              </w:rPr>
              <w:t>11.1</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Market Exchange Rate</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90"/>
              </w:rPr>
              <w:t>10.15</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York Banking Day</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90"/>
              </w:rPr>
              <w:t>10.16</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Notice Agent</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2.4</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optional sinking fund payment</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8"/>
              </w:rPr>
              <w:t>11.1</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2.4</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2.4</w:t>
            </w:r>
          </w:p>
        </w:tc>
        <w:tc>
          <w:tcPr>
            <w:tcW w:w="140" w:type="dxa"/>
            <w:vAlign w:val="bottom"/>
          </w:tcPr>
          <w:p>
            <w:pPr>
              <w:spacing w:after="0"/>
              <w:rPr>
                <w:sz w:val="23"/>
                <w:szCs w:val="23"/>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Currency</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90"/>
              </w:rPr>
              <w:t>10.16</w:t>
            </w:r>
          </w:p>
        </w:tc>
        <w:tc>
          <w:tcPr>
            <w:tcW w:w="140" w:type="dxa"/>
            <w:vAlign w:val="bottom"/>
          </w:tcPr>
          <w:p>
            <w:pPr>
              <w:spacing w:after="0"/>
              <w:rPr>
                <w:sz w:val="23"/>
                <w:szCs w:val="23"/>
                <w:color w:val="auto"/>
              </w:rPr>
            </w:pPr>
          </w:p>
        </w:tc>
      </w:tr>
      <w:tr>
        <w:trPr>
          <w:trHeight w:val="274"/>
        </w:trPr>
        <w:tc>
          <w:tcPr>
            <w:tcW w:w="46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successor person</w:t>
            </w:r>
            <w:r>
              <w:rPr>
                <w:rFonts w:ascii="Arial" w:cs="Arial" w:eastAsia="Arial" w:hAnsi="Arial"/>
                <w:sz w:val="22"/>
                <w:szCs w:val="22"/>
                <w:color w:val="auto"/>
              </w:rPr>
              <w:t>”</w:t>
            </w:r>
          </w:p>
        </w:tc>
        <w:tc>
          <w:tcPr>
            <w:tcW w:w="2640" w:type="dxa"/>
            <w:vAlign w:val="bottom"/>
            <w:gridSpan w:val="2"/>
          </w:tcPr>
          <w:p>
            <w:pPr>
              <w:jc w:val="center"/>
              <w:ind w:left="1633"/>
              <w:spacing w:after="0"/>
              <w:rPr>
                <w:sz w:val="20"/>
                <w:szCs w:val="20"/>
                <w:color w:val="auto"/>
              </w:rPr>
            </w:pPr>
            <w:r>
              <w:rPr>
                <w:rFonts w:ascii="Arial" w:cs="Arial" w:eastAsia="Arial" w:hAnsi="Arial"/>
                <w:sz w:val="22"/>
                <w:szCs w:val="22"/>
                <w:color w:val="auto"/>
                <w:w w:val="84"/>
              </w:rPr>
              <w:t>5.1</w:t>
            </w:r>
          </w:p>
        </w:tc>
        <w:tc>
          <w:tcPr>
            <w:tcW w:w="1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2" w:name="page63"/>
    <w:bookmarkEnd w:id="62"/>
    <w:p>
      <w:pPr>
        <w:ind w:left="1300"/>
        <w:spacing w:after="0"/>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u w:val="single" w:color="auto"/>
          <w:color w:val="000000"/>
        </w:rPr>
        <w:t>Incorporation by Reference of Trust Indenture Act</w:t>
      </w:r>
      <w:r>
        <w:rPr>
          <w:rFonts w:ascii="Arial" w:cs="Arial" w:eastAsia="Arial" w:hAnsi="Arial"/>
          <w:sz w:val="22"/>
          <w:szCs w:val="22"/>
          <w:color w:val="000000"/>
        </w:rPr>
        <w:t>.</w:t>
      </w:r>
    </w:p>
    <w:p>
      <w:pPr>
        <w:spacing w:after="0" w:line="1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Whenever this Indenture refers to a provision of the TIA, the provision is incorporated by reference in and made a part of this Indenture. The following TIA terms used in this Indenture have the following meanings: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means the SEC.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Securities.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security holder</w:t>
      </w:r>
      <w:r>
        <w:rPr>
          <w:rFonts w:ascii="Arial" w:cs="Arial" w:eastAsia="Arial" w:hAnsi="Arial"/>
          <w:sz w:val="22"/>
          <w:szCs w:val="22"/>
          <w:color w:val="auto"/>
        </w:rPr>
        <w:t>” means a Securityholder.</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to be qualified</w:t>
      </w:r>
      <w:r>
        <w:rPr>
          <w:rFonts w:ascii="Arial" w:cs="Arial" w:eastAsia="Arial" w:hAnsi="Arial"/>
          <w:sz w:val="22"/>
          <w:szCs w:val="22"/>
          <w:color w:val="auto"/>
        </w:rPr>
        <w:t>” means this Indenture.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trustee</w:t>
      </w:r>
      <w:r>
        <w:rPr>
          <w:rFonts w:ascii="Arial" w:cs="Arial" w:eastAsia="Arial" w:hAnsi="Arial"/>
          <w:sz w:val="22"/>
          <w:szCs w:val="22"/>
          <w:color w:val="auto"/>
        </w:rPr>
        <w:t>” or “</w:t>
      </w:r>
      <w:r>
        <w:rPr>
          <w:rFonts w:ascii="Arial" w:cs="Arial" w:eastAsia="Arial" w:hAnsi="Arial"/>
          <w:sz w:val="22"/>
          <w:szCs w:val="22"/>
          <w:i w:val="1"/>
          <w:iCs w:val="1"/>
          <w:color w:val="auto"/>
        </w:rPr>
        <w:t>institutional trustee</w:t>
      </w:r>
      <w:r>
        <w:rPr>
          <w:rFonts w:ascii="Arial" w:cs="Arial" w:eastAsia="Arial" w:hAnsi="Arial"/>
          <w:sz w:val="22"/>
          <w:szCs w:val="22"/>
          <w:color w:val="auto"/>
        </w:rPr>
        <w:t>” means the Trustee.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obligor</w:t>
      </w:r>
      <w:r>
        <w:rPr>
          <w:rFonts w:ascii="Arial" w:cs="Arial" w:eastAsia="Arial" w:hAnsi="Arial"/>
          <w:sz w:val="21"/>
          <w:szCs w:val="21"/>
          <w:color w:val="auto"/>
        </w:rPr>
        <w:t>” on the indenture securities means the Company and any successor obligor upon the Securities.</w:t>
      </w:r>
    </w:p>
    <w:p>
      <w:pPr>
        <w:spacing w:after="0" w:line="177"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All other terms used in this Indenture that are defined by the TIA, defined by TIA reference to another statute or defined by SEC rule under the TIA and not otherwise defined herein are used herein as so defined.</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1.4 </w:t>
      </w:r>
      <w:r>
        <w:rPr>
          <w:rFonts w:ascii="Arial" w:cs="Arial" w:eastAsia="Arial" w:hAnsi="Arial"/>
          <w:sz w:val="22"/>
          <w:szCs w:val="22"/>
          <w:u w:val="single" w:color="auto"/>
          <w:color w:val="000000"/>
        </w:rPr>
        <w:t>Rules of Construction</w:t>
      </w:r>
      <w:r>
        <w:rPr>
          <w:rFonts w:ascii="Arial" w:cs="Arial" w:eastAsia="Arial" w:hAnsi="Arial"/>
          <w:sz w:val="22"/>
          <w:szCs w:val="22"/>
          <w:color w:val="000000"/>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Unless the context otherwise requires:</w:t>
      </w:r>
    </w:p>
    <w:p>
      <w:pPr>
        <w:spacing w:after="0" w:line="166" w:lineRule="exact"/>
        <w:rPr>
          <w:sz w:val="20"/>
          <w:szCs w:val="20"/>
          <w:color w:val="auto"/>
        </w:rPr>
      </w:pPr>
    </w:p>
    <w:p>
      <w:pPr>
        <w:ind w:left="1580" w:hanging="276"/>
        <w:spacing w:after="0"/>
        <w:tabs>
          <w:tab w:leader="none" w:pos="1580"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a term has the meaning assigned to it;</w:t>
      </w:r>
    </w:p>
    <w:p>
      <w:pPr>
        <w:spacing w:after="0" w:line="179" w:lineRule="exact"/>
        <w:rPr>
          <w:rFonts w:ascii="Arial" w:cs="Arial" w:eastAsia="Arial" w:hAnsi="Arial"/>
          <w:sz w:val="22"/>
          <w:szCs w:val="22"/>
          <w:color w:val="010000"/>
        </w:rPr>
      </w:pPr>
    </w:p>
    <w:p>
      <w:pPr>
        <w:ind w:left="1600" w:hanging="296"/>
        <w:spacing w:after="0"/>
        <w:tabs>
          <w:tab w:leader="none" w:pos="1600" w:val="left"/>
        </w:tabs>
        <w:numPr>
          <w:ilvl w:val="0"/>
          <w:numId w:val="41"/>
        </w:numPr>
        <w:rPr>
          <w:rFonts w:ascii="Arial" w:cs="Arial" w:eastAsia="Arial" w:hAnsi="Arial"/>
          <w:sz w:val="21"/>
          <w:szCs w:val="21"/>
          <w:color w:val="010000"/>
        </w:rPr>
      </w:pPr>
      <w:r>
        <w:rPr>
          <w:rFonts w:ascii="Arial" w:cs="Arial" w:eastAsia="Arial" w:hAnsi="Arial"/>
          <w:sz w:val="21"/>
          <w:szCs w:val="21"/>
          <w:color w:val="auto"/>
        </w:rPr>
        <w:t>an accounting term not otherwise defined has the meaning assigned to it in accordance with GAAP;</w:t>
      </w:r>
    </w:p>
    <w:p>
      <w:pPr>
        <w:spacing w:after="0" w:line="177" w:lineRule="exact"/>
        <w:rPr>
          <w:rFonts w:ascii="Arial" w:cs="Arial" w:eastAsia="Arial" w:hAnsi="Arial"/>
          <w:sz w:val="21"/>
          <w:szCs w:val="21"/>
          <w:color w:val="010000"/>
        </w:rPr>
      </w:pPr>
    </w:p>
    <w:p>
      <w:pPr>
        <w:ind w:left="1580" w:hanging="276"/>
        <w:spacing w:after="0"/>
        <w:tabs>
          <w:tab w:leader="none" w:pos="1580"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i w:val="1"/>
          <w:iCs w:val="1"/>
          <w:color w:val="auto"/>
        </w:rPr>
        <w:t>or</w:t>
      </w:r>
      <w:r>
        <w:rPr>
          <w:rFonts w:ascii="Arial" w:cs="Arial" w:eastAsia="Arial" w:hAnsi="Arial"/>
          <w:sz w:val="22"/>
          <w:szCs w:val="22"/>
          <w:color w:val="auto"/>
        </w:rPr>
        <w:t>” is not exclusive;</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words in the singular include the plural, and in the plural include the singular; and</w:t>
      </w:r>
    </w:p>
    <w:p>
      <w:pPr>
        <w:spacing w:after="0" w:line="165" w:lineRule="exact"/>
        <w:rPr>
          <w:rFonts w:ascii="Arial" w:cs="Arial" w:eastAsia="Arial" w:hAnsi="Arial"/>
          <w:sz w:val="22"/>
          <w:szCs w:val="22"/>
          <w:color w:val="010000"/>
        </w:rPr>
      </w:pPr>
    </w:p>
    <w:p>
      <w:pPr>
        <w:ind w:left="1580" w:hanging="276"/>
        <w:spacing w:after="0"/>
        <w:tabs>
          <w:tab w:leader="none" w:pos="1580"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provisions apply to successive events and transactions.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2.1 </w:t>
      </w:r>
      <w:r>
        <w:rPr>
          <w:rFonts w:ascii="Arial" w:cs="Arial" w:eastAsia="Arial" w:hAnsi="Arial"/>
          <w:sz w:val="22"/>
          <w:szCs w:val="22"/>
          <w:u w:val="single" w:color="auto"/>
          <w:color w:val="000000"/>
        </w:rPr>
        <w:t>Issuable in Series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hereto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22"/>
          <w:szCs w:val="22"/>
          <w:color w:val="auto"/>
        </w:rPr>
        <w:t>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2.2 </w:t>
      </w:r>
      <w:r>
        <w:rPr>
          <w:rFonts w:ascii="Arial" w:cs="Arial" w:eastAsia="Arial" w:hAnsi="Arial"/>
          <w:sz w:val="22"/>
          <w:szCs w:val="22"/>
          <w:u w:val="single" w:color="auto"/>
          <w:color w:val="000000"/>
        </w:rPr>
        <w:t>Establishment of Terms of Series of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1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010000"/>
        </w:rPr>
        <w:t xml:space="preserve">2.2.1. </w:t>
      </w:r>
      <w:r>
        <w:rPr>
          <w:rFonts w:ascii="Arial" w:cs="Arial" w:eastAsia="Arial" w:hAnsi="Arial"/>
          <w:sz w:val="22"/>
          <w:szCs w:val="22"/>
          <w:color w:val="000000"/>
        </w:rPr>
        <w:t>the title (which shall distinguish the Securities of that particular Series from the Securities of any other</w:t>
      </w:r>
      <w:r>
        <w:rPr>
          <w:rFonts w:ascii="Arial" w:cs="Arial" w:eastAsia="Arial" w:hAnsi="Arial"/>
          <w:sz w:val="22"/>
          <w:szCs w:val="22"/>
          <w:color w:val="010000"/>
        </w:rPr>
        <w:t xml:space="preserve"> </w:t>
      </w:r>
      <w:r>
        <w:rPr>
          <w:rFonts w:ascii="Arial" w:cs="Arial" w:eastAsia="Arial" w:hAnsi="Arial"/>
          <w:sz w:val="22"/>
          <w:szCs w:val="22"/>
          <w:color w:val="000000"/>
        </w:rPr>
        <w:t>Series) and ranking (including the terms of any subordination provisions) of the Series;</w:t>
      </w:r>
    </w:p>
    <w:p>
      <w:pPr>
        <w:spacing w:after="0" w:line="12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010000"/>
        </w:rPr>
        <w:t xml:space="preserve">2.2.2. </w:t>
      </w:r>
      <w:r>
        <w:rPr>
          <w:rFonts w:ascii="Arial" w:cs="Arial" w:eastAsia="Arial" w:hAnsi="Arial"/>
          <w:sz w:val="22"/>
          <w:szCs w:val="22"/>
          <w:color w:val="000000"/>
        </w:rPr>
        <w:t>the price or prices (expressed as a percentage of the principal amount thereof) at which the Securities of the</w:t>
      </w:r>
      <w:r>
        <w:rPr>
          <w:rFonts w:ascii="Arial" w:cs="Arial" w:eastAsia="Arial" w:hAnsi="Arial"/>
          <w:sz w:val="22"/>
          <w:szCs w:val="22"/>
          <w:color w:val="010000"/>
        </w:rPr>
        <w:t xml:space="preserve"> </w:t>
      </w:r>
      <w:r>
        <w:rPr>
          <w:rFonts w:ascii="Arial" w:cs="Arial" w:eastAsia="Arial" w:hAnsi="Arial"/>
          <w:sz w:val="22"/>
          <w:szCs w:val="22"/>
          <w:color w:val="000000"/>
        </w:rPr>
        <w:t>Series will be issued;</w:t>
      </w:r>
    </w:p>
    <w:p>
      <w:pPr>
        <w:spacing w:after="0" w:line="121"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21"/>
          <w:szCs w:val="21"/>
          <w:color w:val="010000"/>
        </w:rPr>
        <w:t xml:space="preserve">2.2.3. </w:t>
      </w:r>
      <w:r>
        <w:rPr>
          <w:rFonts w:ascii="Arial" w:cs="Arial" w:eastAsia="Arial" w:hAnsi="Arial"/>
          <w:sz w:val="21"/>
          <w:szCs w:val="21"/>
          <w:color w:val="000000"/>
        </w:rPr>
        <w:t>any limit upon the aggregate principal amount of the Securities of the Series which may be authenticated</w:t>
      </w:r>
      <w:r>
        <w:rPr>
          <w:rFonts w:ascii="Arial" w:cs="Arial" w:eastAsia="Arial" w:hAnsi="Arial"/>
          <w:sz w:val="21"/>
          <w:szCs w:val="21"/>
          <w:color w:val="010000"/>
        </w:rPr>
        <w:t xml:space="preserve"> </w:t>
      </w:r>
      <w:r>
        <w:rPr>
          <w:rFonts w:ascii="Arial" w:cs="Arial" w:eastAsia="Arial" w:hAnsi="Arial"/>
          <w:sz w:val="21"/>
          <w:szCs w:val="21"/>
          <w:color w:val="000000"/>
        </w:rPr>
        <w:t>and delivered under this Indenture (except for Securities authenticated and delivered upon registration of transfer of, or in exchange for, or in lieu of, other Securities of the Series pursuant to Section 2.7, 2.8, 2.11, 3.6 or 9.6);</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2.2.4. </w:t>
      </w:r>
      <w:r>
        <w:rPr>
          <w:rFonts w:ascii="Arial" w:cs="Arial" w:eastAsia="Arial" w:hAnsi="Arial"/>
          <w:sz w:val="22"/>
          <w:szCs w:val="22"/>
          <w:color w:val="000000"/>
        </w:rPr>
        <w:t>the date or dates on which the principal of the Securities of the Series is payable;</w:t>
      </w:r>
    </w:p>
    <w:p>
      <w:pPr>
        <w:spacing w:after="0" w:line="166"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010000"/>
        </w:rPr>
        <w:t xml:space="preserve">2.2.5. </w:t>
      </w:r>
      <w:r>
        <w:rPr>
          <w:rFonts w:ascii="Arial" w:cs="Arial" w:eastAsia="Arial" w:hAnsi="Arial"/>
          <w:sz w:val="22"/>
          <w:szCs w:val="22"/>
          <w:color w:val="000000"/>
        </w:rPr>
        <w:t>the rate or rates (which may be fixed or variable) per annum or, if applicable, the method used to determine</w:t>
      </w:r>
      <w:r>
        <w:rPr>
          <w:rFonts w:ascii="Arial" w:cs="Arial" w:eastAsia="Arial" w:hAnsi="Arial"/>
          <w:sz w:val="22"/>
          <w:szCs w:val="22"/>
          <w:color w:val="010000"/>
        </w:rPr>
        <w:t xml:space="preserve"> </w:t>
      </w:r>
      <w:r>
        <w:rPr>
          <w:rFonts w:ascii="Arial" w:cs="Arial" w:eastAsia="Arial" w:hAnsi="Arial"/>
          <w:sz w:val="22"/>
          <w:szCs w:val="22"/>
          <w:color w:val="000000"/>
        </w:rPr>
        <w:t>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3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010000"/>
        </w:rPr>
        <w:t xml:space="preserve">2.2.6. </w:t>
      </w:r>
      <w:r>
        <w:rPr>
          <w:rFonts w:ascii="Arial" w:cs="Arial" w:eastAsia="Arial" w:hAnsi="Arial"/>
          <w:sz w:val="22"/>
          <w:szCs w:val="22"/>
          <w:color w:val="000000"/>
        </w:rPr>
        <w:t>the place or places where the principal of and interest, if any, on the Securities of the Series shall be payable,</w:t>
      </w:r>
      <w:r>
        <w:rPr>
          <w:rFonts w:ascii="Arial" w:cs="Arial" w:eastAsia="Arial" w:hAnsi="Arial"/>
          <w:sz w:val="22"/>
          <w:szCs w:val="22"/>
          <w:color w:val="010000"/>
        </w:rPr>
        <w:t xml:space="preserve"> </w:t>
      </w:r>
      <w:r>
        <w:rPr>
          <w:rFonts w:ascii="Arial" w:cs="Arial" w:eastAsia="Arial" w:hAnsi="Arial"/>
          <w:sz w:val="22"/>
          <w:szCs w:val="22"/>
          <w:color w:val="000000"/>
        </w:rPr>
        <w:t>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3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010000"/>
        </w:rPr>
        <w:t xml:space="preserve">2.2.7. </w:t>
      </w:r>
      <w:r>
        <w:rPr>
          <w:rFonts w:ascii="Arial" w:cs="Arial" w:eastAsia="Arial" w:hAnsi="Arial"/>
          <w:sz w:val="21"/>
          <w:szCs w:val="21"/>
          <w:color w:val="000000"/>
        </w:rPr>
        <w:t>if applicable, the period or periods within which, the price or prices at which and the terms and conditions</w:t>
      </w:r>
      <w:r>
        <w:rPr>
          <w:rFonts w:ascii="Arial" w:cs="Arial" w:eastAsia="Arial" w:hAnsi="Arial"/>
          <w:sz w:val="21"/>
          <w:szCs w:val="21"/>
          <w:color w:val="010000"/>
        </w:rPr>
        <w:t xml:space="preserve"> </w:t>
      </w:r>
      <w:r>
        <w:rPr>
          <w:rFonts w:ascii="Arial" w:cs="Arial" w:eastAsia="Arial" w:hAnsi="Arial"/>
          <w:sz w:val="21"/>
          <w:szCs w:val="21"/>
          <w:color w:val="000000"/>
        </w:rPr>
        <w:t>upon which the Securities of the Series may be redeemed, in whole or in part, at the option of the Company;</w:t>
      </w:r>
    </w:p>
    <w:p>
      <w:pPr>
        <w:spacing w:after="0" w:line="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2.2.8. </w:t>
      </w:r>
      <w:r>
        <w:rPr>
          <w:rFonts w:ascii="Arial" w:cs="Arial" w:eastAsia="Arial" w:hAnsi="Arial"/>
          <w:sz w:val="22"/>
          <w:szCs w:val="22"/>
          <w:color w:val="000000"/>
        </w:rPr>
        <w:t>the obligation, if any, of the Company to redeem or purchase the Securities of the Series pursuant to any</w:t>
      </w:r>
      <w:r>
        <w:rPr>
          <w:rFonts w:ascii="Arial" w:cs="Arial" w:eastAsia="Arial" w:hAnsi="Arial"/>
          <w:sz w:val="22"/>
          <w:szCs w:val="22"/>
          <w:color w:val="010000"/>
        </w:rPr>
        <w:t xml:space="preserve"> </w:t>
      </w:r>
      <w:r>
        <w:rPr>
          <w:rFonts w:ascii="Arial" w:cs="Arial" w:eastAsia="Arial" w:hAnsi="Arial"/>
          <w:sz w:val="22"/>
          <w:szCs w:val="22"/>
          <w:color w:val="000000"/>
        </w:rPr>
        <w:t>sinking fund or analogous provisions or at the option of a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22"/>
          <w:szCs w:val="22"/>
          <w:color w:val="auto"/>
        </w:rPr>
        <w:t>thereof and the period or periods within which, the price or prices at which and the terms and conditions upon which Securities of the Series shall be redeemed or purchased, in whole or in part, pursuant to such obligation;</w:t>
      </w:r>
    </w:p>
    <w:p>
      <w:pPr>
        <w:spacing w:after="0" w:line="121" w:lineRule="exact"/>
        <w:rPr>
          <w:sz w:val="20"/>
          <w:szCs w:val="20"/>
          <w:color w:val="auto"/>
        </w:rPr>
      </w:pPr>
    </w:p>
    <w:p>
      <w:pPr>
        <w:jc w:val="both"/>
        <w:ind w:firstLine="1296"/>
        <w:spacing w:after="0" w:line="358" w:lineRule="auto"/>
        <w:rPr>
          <w:sz w:val="20"/>
          <w:szCs w:val="20"/>
          <w:color w:val="auto"/>
        </w:rPr>
      </w:pPr>
      <w:r>
        <w:rPr>
          <w:rFonts w:ascii="Arial" w:cs="Arial" w:eastAsia="Arial" w:hAnsi="Arial"/>
          <w:sz w:val="19"/>
          <w:szCs w:val="19"/>
          <w:color w:val="010000"/>
        </w:rPr>
        <w:t xml:space="preserve">2.2.9. </w:t>
      </w:r>
      <w:r>
        <w:rPr>
          <w:rFonts w:ascii="Arial" w:cs="Arial" w:eastAsia="Arial" w:hAnsi="Arial"/>
          <w:sz w:val="19"/>
          <w:szCs w:val="19"/>
          <w:color w:val="000000"/>
        </w:rPr>
        <w:t>the dates, if any, on which and the price or prices at which the Securities of the Series will be repurchased by</w:t>
      </w:r>
      <w:r>
        <w:rPr>
          <w:rFonts w:ascii="Arial" w:cs="Arial" w:eastAsia="Arial" w:hAnsi="Arial"/>
          <w:sz w:val="19"/>
          <w:szCs w:val="19"/>
          <w:color w:val="010000"/>
        </w:rPr>
        <w:t xml:space="preserve"> </w:t>
      </w:r>
      <w:r>
        <w:rPr>
          <w:rFonts w:ascii="Arial" w:cs="Arial" w:eastAsia="Arial" w:hAnsi="Arial"/>
          <w:sz w:val="19"/>
          <w:szCs w:val="19"/>
          <w:color w:val="000000"/>
        </w:rPr>
        <w:t>the Company at the option of the Holders thereof and other detailed terms and provisions of such repurchase obligations;</w:t>
      </w:r>
    </w:p>
    <w:p>
      <w:pPr>
        <w:spacing w:after="0" w:line="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2.2.10. </w:t>
      </w:r>
      <w:r>
        <w:rPr>
          <w:rFonts w:ascii="Arial" w:cs="Arial" w:eastAsia="Arial" w:hAnsi="Arial"/>
          <w:sz w:val="22"/>
          <w:szCs w:val="22"/>
          <w:color w:val="000000"/>
        </w:rPr>
        <w:t>if other than denominations of $1,000 and any integral multiple thereof, the denominations in which the</w:t>
      </w:r>
      <w:r>
        <w:rPr>
          <w:rFonts w:ascii="Arial" w:cs="Arial" w:eastAsia="Arial" w:hAnsi="Arial"/>
          <w:sz w:val="22"/>
          <w:szCs w:val="22"/>
          <w:color w:val="010000"/>
        </w:rPr>
        <w:t xml:space="preserve"> </w:t>
      </w:r>
      <w:r>
        <w:rPr>
          <w:rFonts w:ascii="Arial" w:cs="Arial" w:eastAsia="Arial" w:hAnsi="Arial"/>
          <w:sz w:val="22"/>
          <w:szCs w:val="22"/>
          <w:color w:val="000000"/>
        </w:rPr>
        <w:t>Securities of the Series shall be issuable;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010000"/>
        </w:rPr>
        <w:t xml:space="preserve">2.2.11. </w:t>
      </w:r>
      <w:r>
        <w:rPr>
          <w:rFonts w:ascii="Arial" w:cs="Arial" w:eastAsia="Arial" w:hAnsi="Arial"/>
          <w:sz w:val="19"/>
          <w:szCs w:val="19"/>
          <w:color w:val="000000"/>
        </w:rPr>
        <w:t>the forms of the Securities of the Series and whether the Securities will be issuable as Global Securities;</w:t>
      </w:r>
    </w:p>
    <w:p>
      <w:pPr>
        <w:spacing w:after="0" w:line="20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010000"/>
        </w:rPr>
        <w:t xml:space="preserve">2.2.12. </w:t>
      </w:r>
      <w:r>
        <w:rPr>
          <w:rFonts w:ascii="Arial" w:cs="Arial" w:eastAsia="Arial" w:hAnsi="Arial"/>
          <w:sz w:val="22"/>
          <w:szCs w:val="22"/>
          <w:color w:val="000000"/>
        </w:rPr>
        <w:t>if other than the principal amount thereof, the portion of the principal amount of the Securities of the Series</w:t>
      </w:r>
      <w:r>
        <w:rPr>
          <w:rFonts w:ascii="Arial" w:cs="Arial" w:eastAsia="Arial" w:hAnsi="Arial"/>
          <w:sz w:val="22"/>
          <w:szCs w:val="22"/>
          <w:color w:val="010000"/>
        </w:rPr>
        <w:t xml:space="preserve"> </w:t>
      </w:r>
      <w:r>
        <w:rPr>
          <w:rFonts w:ascii="Arial" w:cs="Arial" w:eastAsia="Arial" w:hAnsi="Arial"/>
          <w:sz w:val="22"/>
          <w:szCs w:val="22"/>
          <w:color w:val="000000"/>
        </w:rPr>
        <w:t>that shall be payable upon declaration of acceleration of the maturity thereof pursuant to Section 6.2;</w:t>
      </w:r>
    </w:p>
    <w:p>
      <w:pPr>
        <w:spacing w:after="0" w:line="10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2.2.13. </w:t>
      </w:r>
      <w:r>
        <w:rPr>
          <w:rFonts w:ascii="Arial" w:cs="Arial" w:eastAsia="Arial" w:hAnsi="Arial"/>
          <w:sz w:val="22"/>
          <w:szCs w:val="22"/>
          <w:color w:val="000000"/>
        </w:rPr>
        <w:t>the currency of denomination of the Securities of the Series, which may be Dollars or any Foreign</w:t>
      </w:r>
      <w:r>
        <w:rPr>
          <w:rFonts w:ascii="Arial" w:cs="Arial" w:eastAsia="Arial" w:hAnsi="Arial"/>
          <w:sz w:val="22"/>
          <w:szCs w:val="22"/>
          <w:color w:val="010000"/>
        </w:rPr>
        <w:t xml:space="preserve"> </w:t>
      </w:r>
      <w:r>
        <w:rPr>
          <w:rFonts w:ascii="Arial" w:cs="Arial" w:eastAsia="Arial" w:hAnsi="Arial"/>
          <w:sz w:val="22"/>
          <w:szCs w:val="22"/>
          <w:color w:val="000000"/>
        </w:rPr>
        <w:t>Currency, and if such currency of denomination is a composite currency, the agency or organization, if any, responsible for overseeing such composite currency;</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2.2.14. </w:t>
      </w:r>
      <w:r>
        <w:rPr>
          <w:rFonts w:ascii="Arial" w:cs="Arial" w:eastAsia="Arial" w:hAnsi="Arial"/>
          <w:sz w:val="22"/>
          <w:szCs w:val="22"/>
          <w:color w:val="000000"/>
        </w:rPr>
        <w:t>the designation of the currency, currencies or currency units in which payment of the principal of and</w:t>
      </w:r>
      <w:r>
        <w:rPr>
          <w:rFonts w:ascii="Arial" w:cs="Arial" w:eastAsia="Arial" w:hAnsi="Arial"/>
          <w:sz w:val="22"/>
          <w:szCs w:val="22"/>
          <w:color w:val="010000"/>
        </w:rPr>
        <w:t xml:space="preserve"> </w:t>
      </w:r>
      <w:r>
        <w:rPr>
          <w:rFonts w:ascii="Arial" w:cs="Arial" w:eastAsia="Arial" w:hAnsi="Arial"/>
          <w:sz w:val="22"/>
          <w:szCs w:val="22"/>
          <w:color w:val="000000"/>
        </w:rPr>
        <w:t>interest, if any, on the Securities of the Series will be made;</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2.2.15. </w:t>
      </w:r>
      <w:r>
        <w:rPr>
          <w:rFonts w:ascii="Arial" w:cs="Arial" w:eastAsia="Arial" w:hAnsi="Arial"/>
          <w:sz w:val="22"/>
          <w:szCs w:val="22"/>
          <w:color w:val="000000"/>
        </w:rPr>
        <w:t>if payments of principal of or interest, if any, on the Securities of the Series are to be made in one or more</w:t>
      </w:r>
      <w:r>
        <w:rPr>
          <w:rFonts w:ascii="Arial" w:cs="Arial" w:eastAsia="Arial" w:hAnsi="Arial"/>
          <w:sz w:val="22"/>
          <w:szCs w:val="22"/>
          <w:color w:val="010000"/>
        </w:rPr>
        <w:t xml:space="preserve"> </w:t>
      </w:r>
      <w:r>
        <w:rPr>
          <w:rFonts w:ascii="Arial" w:cs="Arial" w:eastAsia="Arial" w:hAnsi="Arial"/>
          <w:sz w:val="22"/>
          <w:szCs w:val="22"/>
          <w:color w:val="000000"/>
        </w:rPr>
        <w:t>currencies or currency units other than that or those in which such Securities are denominated, the manner in which the exchange rate with respect to such payments will be determined;</w:t>
      </w:r>
    </w:p>
    <w:p>
      <w:pPr>
        <w:spacing w:after="0" w:line="13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010000"/>
        </w:rPr>
        <w:t xml:space="preserve">2.2.16. </w:t>
      </w:r>
      <w:r>
        <w:rPr>
          <w:rFonts w:ascii="Arial" w:cs="Arial" w:eastAsia="Arial" w:hAnsi="Arial"/>
          <w:sz w:val="22"/>
          <w:szCs w:val="22"/>
          <w:color w:val="000000"/>
        </w:rPr>
        <w:t>the manner in which the amounts of payment of principal of or interest, if any, on the Securities of the</w:t>
      </w:r>
      <w:r>
        <w:rPr>
          <w:rFonts w:ascii="Arial" w:cs="Arial" w:eastAsia="Arial" w:hAnsi="Arial"/>
          <w:sz w:val="22"/>
          <w:szCs w:val="22"/>
          <w:color w:val="010000"/>
        </w:rPr>
        <w:t xml:space="preserve"> </w:t>
      </w:r>
      <w:r>
        <w:rPr>
          <w:rFonts w:ascii="Arial" w:cs="Arial" w:eastAsia="Arial" w:hAnsi="Arial"/>
          <w:sz w:val="22"/>
          <w:szCs w:val="22"/>
          <w:color w:val="000000"/>
        </w:rPr>
        <w:t>Series will be determined, if such amounts may be determined by reference to an index based on a currency or currencies or by reference to a commodity, commodity index, stock exchange index or financial index;</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2.2.17. </w:t>
      </w:r>
      <w:r>
        <w:rPr>
          <w:rFonts w:ascii="Arial" w:cs="Arial" w:eastAsia="Arial" w:hAnsi="Arial"/>
          <w:sz w:val="22"/>
          <w:szCs w:val="22"/>
          <w:color w:val="000000"/>
        </w:rPr>
        <w:t>the provisions, if any, relating to any security provided for the Securities of the Series;</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2.2.18. </w:t>
      </w:r>
      <w:r>
        <w:rPr>
          <w:rFonts w:ascii="Arial" w:cs="Arial" w:eastAsia="Arial" w:hAnsi="Arial"/>
          <w:sz w:val="22"/>
          <w:szCs w:val="22"/>
          <w:color w:val="000000"/>
        </w:rPr>
        <w:t>any addition to, deletion of or change in the Events of Default which applies to any Securities of the Series</w:t>
      </w:r>
      <w:r>
        <w:rPr>
          <w:rFonts w:ascii="Arial" w:cs="Arial" w:eastAsia="Arial" w:hAnsi="Arial"/>
          <w:sz w:val="22"/>
          <w:szCs w:val="22"/>
          <w:color w:val="010000"/>
        </w:rPr>
        <w:t xml:space="preserve"> </w:t>
      </w:r>
      <w:r>
        <w:rPr>
          <w:rFonts w:ascii="Arial" w:cs="Arial" w:eastAsia="Arial" w:hAnsi="Arial"/>
          <w:sz w:val="22"/>
          <w:szCs w:val="22"/>
          <w:color w:val="000000"/>
        </w:rPr>
        <w:t>and any change in the right of the Trustee or the requisite Holders of such Securities to declare the principal amount thereof due and payable pursuant to Section 6.2;</w:t>
      </w:r>
    </w:p>
    <w:p>
      <w:pPr>
        <w:spacing w:after="0" w:line="14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2.2.19. </w:t>
      </w:r>
      <w:r>
        <w:rPr>
          <w:rFonts w:ascii="Arial" w:cs="Arial" w:eastAsia="Arial" w:hAnsi="Arial"/>
          <w:sz w:val="22"/>
          <w:szCs w:val="22"/>
          <w:color w:val="000000"/>
        </w:rPr>
        <w:t>any addition to, deletion of or change in the covenants set forth in Articles IV or V which applies to</w:t>
      </w:r>
      <w:r>
        <w:rPr>
          <w:rFonts w:ascii="Arial" w:cs="Arial" w:eastAsia="Arial" w:hAnsi="Arial"/>
          <w:sz w:val="22"/>
          <w:szCs w:val="22"/>
          <w:color w:val="010000"/>
        </w:rPr>
        <w:t xml:space="preserve"> </w:t>
      </w:r>
      <w:r>
        <w:rPr>
          <w:rFonts w:ascii="Arial" w:cs="Arial" w:eastAsia="Arial" w:hAnsi="Arial"/>
          <w:sz w:val="22"/>
          <w:szCs w:val="22"/>
          <w:color w:val="000000"/>
        </w:rPr>
        <w:t>Securities of the Series;</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010000"/>
        </w:rPr>
        <w:t xml:space="preserve">2.2.20. </w:t>
      </w:r>
      <w:r>
        <w:rPr>
          <w:rFonts w:ascii="Arial" w:cs="Arial" w:eastAsia="Arial" w:hAnsi="Arial"/>
          <w:sz w:val="22"/>
          <w:szCs w:val="22"/>
          <w:color w:val="000000"/>
        </w:rPr>
        <w:t>any Depositaries, interest rate calculation agents, exchange rate calculation agents or other agents with</w:t>
      </w:r>
      <w:r>
        <w:rPr>
          <w:rFonts w:ascii="Arial" w:cs="Arial" w:eastAsia="Arial" w:hAnsi="Arial"/>
          <w:sz w:val="22"/>
          <w:szCs w:val="22"/>
          <w:color w:val="010000"/>
        </w:rPr>
        <w:t xml:space="preserve"> </w:t>
      </w:r>
      <w:r>
        <w:rPr>
          <w:rFonts w:ascii="Arial" w:cs="Arial" w:eastAsia="Arial" w:hAnsi="Arial"/>
          <w:sz w:val="22"/>
          <w:szCs w:val="22"/>
          <w:color w:val="000000"/>
        </w:rPr>
        <w:t>respect to Securities of such Series if other than those appointed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65" w:name="page66"/>
    <w:bookmarkEnd w:id="65"/>
    <w:p>
      <w:pPr>
        <w:jc w:val="both"/>
        <w:ind w:firstLine="1296"/>
        <w:spacing w:after="0" w:line="266" w:lineRule="auto"/>
        <w:rPr>
          <w:sz w:val="20"/>
          <w:szCs w:val="20"/>
          <w:color w:val="auto"/>
        </w:rPr>
      </w:pPr>
      <w:r>
        <w:rPr>
          <w:rFonts w:ascii="Arial" w:cs="Arial" w:eastAsia="Arial" w:hAnsi="Arial"/>
          <w:sz w:val="21"/>
          <w:szCs w:val="21"/>
          <w:color w:val="010000"/>
        </w:rPr>
        <w:t xml:space="preserve">2.2.21. </w:t>
      </w:r>
      <w:r>
        <w:rPr>
          <w:rFonts w:ascii="Arial" w:cs="Arial" w:eastAsia="Arial" w:hAnsi="Arial"/>
          <w:sz w:val="21"/>
          <w:szCs w:val="21"/>
          <w:color w:val="000000"/>
        </w:rPr>
        <w:t>the provisions, if any, relating to conversion or exchange of any Securities of such Series, including if</w:t>
      </w:r>
      <w:r>
        <w:rPr>
          <w:rFonts w:ascii="Arial" w:cs="Arial" w:eastAsia="Arial" w:hAnsi="Arial"/>
          <w:sz w:val="21"/>
          <w:szCs w:val="21"/>
          <w:color w:val="010000"/>
        </w:rPr>
        <w:t xml:space="preserve"> </w:t>
      </w:r>
      <w:r>
        <w:rPr>
          <w:rFonts w:ascii="Arial" w:cs="Arial" w:eastAsia="Arial" w:hAnsi="Arial"/>
          <w:sz w:val="21"/>
          <w:szCs w:val="21"/>
          <w:color w:val="000000"/>
        </w:rPr>
        <w:t>applicable, the conversion or exchange price, the conversion or exchange period, the securities or other property into which the Securities will be convertible,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2.2.22. </w:t>
      </w:r>
      <w:r>
        <w:rPr>
          <w:rFonts w:ascii="Arial" w:cs="Arial" w:eastAsia="Arial" w:hAnsi="Arial"/>
          <w:sz w:val="22"/>
          <w:szCs w:val="22"/>
          <w:color w:val="000000"/>
        </w:rPr>
        <w:t>any other terms of the Series (which may supplement, modify or delete any provision of this Indenture</w:t>
      </w:r>
      <w:r>
        <w:rPr>
          <w:rFonts w:ascii="Arial" w:cs="Arial" w:eastAsia="Arial" w:hAnsi="Arial"/>
          <w:sz w:val="22"/>
          <w:szCs w:val="22"/>
          <w:color w:val="010000"/>
        </w:rPr>
        <w:t xml:space="preserve"> </w:t>
      </w:r>
      <w:r>
        <w:rPr>
          <w:rFonts w:ascii="Arial" w:cs="Arial" w:eastAsia="Arial" w:hAnsi="Arial"/>
          <w:sz w:val="22"/>
          <w:szCs w:val="22"/>
          <w:color w:val="000000"/>
        </w:rPr>
        <w:t>insofar as it applies to such Series), including any terms that may be required under applicable law or regulations or advisable in connection with the marketing of Securities of that Series; and</w:t>
      </w:r>
    </w:p>
    <w:p>
      <w:pPr>
        <w:spacing w:after="0" w:line="14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010000"/>
        </w:rPr>
        <w:t xml:space="preserve">2.2.23. </w:t>
      </w:r>
      <w:r>
        <w:rPr>
          <w:rFonts w:ascii="Arial" w:cs="Arial" w:eastAsia="Arial" w:hAnsi="Arial"/>
          <w:sz w:val="22"/>
          <w:szCs w:val="22"/>
          <w:color w:val="000000"/>
        </w:rPr>
        <w:t>whether any of the Company’s direct or indirect subsidiaries will guarantee the Securities of that Series,</w:t>
      </w:r>
      <w:r>
        <w:rPr>
          <w:rFonts w:ascii="Arial" w:cs="Arial" w:eastAsia="Arial" w:hAnsi="Arial"/>
          <w:sz w:val="22"/>
          <w:szCs w:val="22"/>
          <w:color w:val="010000"/>
        </w:rPr>
        <w:t xml:space="preserve"> </w:t>
      </w:r>
      <w:r>
        <w:rPr>
          <w:rFonts w:ascii="Arial" w:cs="Arial" w:eastAsia="Arial" w:hAnsi="Arial"/>
          <w:sz w:val="22"/>
          <w:szCs w:val="22"/>
          <w:color w:val="000000"/>
        </w:rPr>
        <w:t>including the terms of subordination, if any, of such guarantees.</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2.3 </w:t>
      </w:r>
      <w:r>
        <w:rPr>
          <w:rFonts w:ascii="Arial" w:cs="Arial" w:eastAsia="Arial" w:hAnsi="Arial"/>
          <w:sz w:val="22"/>
          <w:szCs w:val="22"/>
          <w:u w:val="single" w:color="auto"/>
          <w:color w:val="000000"/>
        </w:rPr>
        <w:t>Execution and Authentication</w:t>
      </w:r>
      <w:r>
        <w:rPr>
          <w:rFonts w:ascii="Arial" w:cs="Arial" w:eastAsia="Arial" w:hAnsi="Arial"/>
          <w:sz w:val="22"/>
          <w:szCs w:val="22"/>
          <w:color w:val="000000"/>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Officers shall sign the Securities for the Company by manual or facsimile signature.</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If an Officer whose signature is on a Security no longer holds that office at the time the Security is authenticated, the Security shall nevertheless be valid.</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Security shall not be valid until authenticated by the manual signature of the Trustee or an authenticating agent.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signature shall be conclusive evidence that the Security has been authenticated under this Indenture.</w:t>
      </w:r>
    </w:p>
    <w:p>
      <w:pPr>
        <w:spacing w:after="0" w:line="16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2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Prior to the issuance of Securities of any Series, the Trustee shall have received and (subject to Section 7.2) shall be fully protected in conclusively relying on: (a) the Board Resolution, supplemental indenture hereto or Officer’s Certificate delivered pursuant to Section 2.2 establishing the form of the Securities of that Series or of Securities within that Series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22"/>
          <w:szCs w:val="22"/>
          <w:color w:val="auto"/>
        </w:rPr>
        <w:t>terms of the Securities of that Series or of Securities within that Series, (b) an Officer’s Certificate complying with Section 10.4, and (c) an Opinion of Counsel complying with Section 10.4.</w:t>
      </w:r>
    </w:p>
    <w:p>
      <w:pPr>
        <w:spacing w:after="0" w:line="12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The Trustee shall have the right, but not the obligation, to decline to authenticate and deliver any Securities of such Series: (a) if the Trustee, being advised by counsel, determines that such action may not be taken lawfully; or (b) if the Trustee in good faith determines that such action would expose the Trustee to personal liability to Holders of any then outstanding Series of Securities.</w:t>
      </w:r>
    </w:p>
    <w:p>
      <w:pPr>
        <w:spacing w:after="0" w:line="13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u w:val="single" w:color="auto"/>
          <w:color w:val="000000"/>
        </w:rPr>
        <w:t>Registrar and Paying Agent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9"/>
          <w:szCs w:val="19"/>
          <w:i w:val="1"/>
          <w:iCs w:val="1"/>
          <w:color w:val="auto"/>
        </w:rPr>
        <w:t>Paying Agent</w:t>
      </w:r>
      <w:r>
        <w:rPr>
          <w:rFonts w:ascii="Arial" w:cs="Arial" w:eastAsia="Arial" w:hAnsi="Arial"/>
          <w:sz w:val="19"/>
          <w:szCs w:val="19"/>
          <w:color w:val="auto"/>
        </w:rPr>
        <w:t>”), where Securities of such Series may be surrendered for registration of transfer or exchange (“</w:t>
      </w:r>
      <w:r>
        <w:rPr>
          <w:rFonts w:ascii="Arial" w:cs="Arial" w:eastAsia="Arial" w:hAnsi="Arial"/>
          <w:sz w:val="19"/>
          <w:szCs w:val="19"/>
          <w:i w:val="1"/>
          <w:iCs w:val="1"/>
          <w:color w:val="auto"/>
        </w:rPr>
        <w:t>Registrar</w:t>
      </w:r>
      <w:r>
        <w:rPr>
          <w:rFonts w:ascii="Arial" w:cs="Arial" w:eastAsia="Arial" w:hAnsi="Arial"/>
          <w:sz w:val="19"/>
          <w:szCs w:val="19"/>
          <w:color w:val="auto"/>
        </w:rPr>
        <w:t>”) and where notices and demands to or upon the Company in respect of the Securities of such Series and this Indenture may be delivered (“</w:t>
      </w:r>
      <w:r>
        <w:rPr>
          <w:rFonts w:ascii="Arial" w:cs="Arial" w:eastAsia="Arial" w:hAnsi="Arial"/>
          <w:sz w:val="19"/>
          <w:szCs w:val="19"/>
          <w:i w:val="1"/>
          <w:iCs w:val="1"/>
          <w:color w:val="auto"/>
        </w:rPr>
        <w:t>Notice Agent</w:t>
      </w:r>
      <w:r>
        <w:rPr>
          <w:rFonts w:ascii="Arial" w:cs="Arial" w:eastAsia="Arial" w:hAnsi="Arial"/>
          <w:sz w:val="19"/>
          <w:szCs w:val="19"/>
          <w:color w:val="auto"/>
        </w:rPr>
        <w:t>”).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0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9"/>
          <w:szCs w:val="19"/>
          <w:i w:val="1"/>
          <w:iCs w:val="1"/>
          <w:color w:val="auto"/>
        </w:rPr>
        <w:t>Registrar</w:t>
      </w:r>
      <w:r>
        <w:rPr>
          <w:rFonts w:ascii="Arial" w:cs="Arial" w:eastAsia="Arial" w:hAnsi="Arial"/>
          <w:sz w:val="19"/>
          <w:szCs w:val="19"/>
          <w:color w:val="auto"/>
        </w:rPr>
        <w:t>” includes any co-registrar; the term “</w:t>
      </w:r>
      <w:r>
        <w:rPr>
          <w:rFonts w:ascii="Arial" w:cs="Arial" w:eastAsia="Arial" w:hAnsi="Arial"/>
          <w:sz w:val="19"/>
          <w:szCs w:val="19"/>
          <w:i w:val="1"/>
          <w:iCs w:val="1"/>
          <w:color w:val="auto"/>
        </w:rPr>
        <w:t>Paying</w:t>
      </w:r>
      <w:r>
        <w:rPr>
          <w:rFonts w:ascii="Arial" w:cs="Arial" w:eastAsia="Arial" w:hAnsi="Arial"/>
          <w:sz w:val="19"/>
          <w:szCs w:val="19"/>
          <w:color w:val="auto"/>
        </w:rPr>
        <w:t xml:space="preserve"> </w:t>
      </w:r>
      <w:r>
        <w:rPr>
          <w:rFonts w:ascii="Arial" w:cs="Arial" w:eastAsia="Arial" w:hAnsi="Arial"/>
          <w:sz w:val="19"/>
          <w:szCs w:val="19"/>
          <w:i w:val="1"/>
          <w:iCs w:val="1"/>
          <w:color w:val="auto"/>
        </w:rPr>
        <w:t>Agent</w:t>
      </w:r>
      <w:r>
        <w:rPr>
          <w:rFonts w:ascii="Arial" w:cs="Arial" w:eastAsia="Arial" w:hAnsi="Arial"/>
          <w:sz w:val="19"/>
          <w:szCs w:val="19"/>
          <w:color w:val="auto"/>
        </w:rPr>
        <w:t>” includes any additional paying agent; and the term “</w:t>
      </w:r>
      <w:r>
        <w:rPr>
          <w:rFonts w:ascii="Arial" w:cs="Arial" w:eastAsia="Arial" w:hAnsi="Arial"/>
          <w:sz w:val="19"/>
          <w:szCs w:val="19"/>
          <w:i w:val="1"/>
          <w:iCs w:val="1"/>
          <w:color w:val="auto"/>
        </w:rPr>
        <w:t>Notice Agent</w:t>
      </w:r>
      <w:r>
        <w:rPr>
          <w:rFonts w:ascii="Arial" w:cs="Arial" w:eastAsia="Arial" w:hAnsi="Arial"/>
          <w:sz w:val="19"/>
          <w:szCs w:val="19"/>
          <w:color w:val="auto"/>
        </w:rPr>
        <w:t>” includes any additional notice agent. The Company or</w:t>
      </w:r>
      <w:r>
        <w:rPr>
          <w:rFonts w:ascii="Arial" w:cs="Arial" w:eastAsia="Arial" w:hAnsi="Arial"/>
          <w:sz w:val="19"/>
          <w:szCs w:val="19"/>
          <w:i w:val="1"/>
          <w:iCs w:val="1"/>
          <w:color w:val="auto"/>
        </w:rPr>
        <w:t xml:space="preserve"> </w:t>
      </w:r>
      <w:r>
        <w:rPr>
          <w:rFonts w:ascii="Arial" w:cs="Arial" w:eastAsia="Arial" w:hAnsi="Arial"/>
          <w:sz w:val="19"/>
          <w:szCs w:val="19"/>
          <w:color w:val="auto"/>
        </w:rPr>
        <w:t>any of its Affiliates may serve as Registrar or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67" w:name="page68"/>
    <w:bookmarkEnd w:id="67"/>
    <w:p>
      <w:pPr>
        <w:jc w:val="both"/>
        <w:ind w:firstLine="1296"/>
        <w:spacing w:after="0" w:line="253" w:lineRule="auto"/>
        <w:rPr>
          <w:sz w:val="20"/>
          <w:szCs w:val="20"/>
          <w:color w:val="auto"/>
        </w:rPr>
      </w:pPr>
      <w:r>
        <w:rPr>
          <w:rFonts w:ascii="Arial" w:cs="Arial" w:eastAsia="Arial" w:hAnsi="Arial"/>
          <w:sz w:val="22"/>
          <w:szCs w:val="22"/>
          <w:color w:val="auto"/>
        </w:rPr>
        <w:t>The Company hereby appoints the Trustee as the initial Registrar, Paying Agent and Notice Agent for each Series unless another Registrar, Paying Agent or Notice Agent, as the case may be, is appointed prior to the time Securities of that Series are first issued.</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2.5 </w:t>
      </w:r>
      <w:r>
        <w:rPr>
          <w:rFonts w:ascii="Arial" w:cs="Arial" w:eastAsia="Arial" w:hAnsi="Arial"/>
          <w:sz w:val="22"/>
          <w:szCs w:val="22"/>
          <w:u w:val="single" w:color="auto"/>
          <w:color w:val="000000"/>
        </w:rPr>
        <w:t>Paying Agent to Hold Money in Trust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2.6 </w:t>
      </w:r>
      <w:r>
        <w:rPr>
          <w:rFonts w:ascii="Arial" w:cs="Arial" w:eastAsia="Arial" w:hAnsi="Arial"/>
          <w:sz w:val="22"/>
          <w:szCs w:val="22"/>
          <w:u w:val="single" w:color="auto"/>
          <w:color w:val="000000"/>
        </w:rPr>
        <w:t>Securityholder Lists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2.7 </w:t>
      </w:r>
      <w:r>
        <w:rPr>
          <w:rFonts w:ascii="Arial" w:cs="Arial" w:eastAsia="Arial" w:hAnsi="Arial"/>
          <w:sz w:val="22"/>
          <w:szCs w:val="22"/>
          <w:u w:val="single" w:color="auto"/>
          <w:color w:val="000000"/>
        </w:rPr>
        <w:t>Transfer and Exchange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Each Holder that is a transferor of a Security shall provide or cause to be provided to the Trustee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68" w:name="page69"/>
    <w:bookmarkEnd w:id="68"/>
    <w:p>
      <w:pPr>
        <w:jc w:val="both"/>
        <w:ind w:firstLine="1296"/>
        <w:spacing w:after="0" w:line="300" w:lineRule="auto"/>
        <w:rPr>
          <w:sz w:val="20"/>
          <w:szCs w:val="20"/>
          <w:color w:val="auto"/>
        </w:rPr>
      </w:pPr>
      <w:r>
        <w:rPr>
          <w:rFonts w:ascii="Arial" w:cs="Arial" w:eastAsia="Arial" w:hAnsi="Arial"/>
          <w:sz w:val="19"/>
          <w:szCs w:val="19"/>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2.8 </w:t>
      </w:r>
      <w:r>
        <w:rPr>
          <w:rFonts w:ascii="Arial" w:cs="Arial" w:eastAsia="Arial" w:hAnsi="Arial"/>
          <w:sz w:val="22"/>
          <w:szCs w:val="22"/>
          <w:u w:val="single" w:color="auto"/>
          <w:color w:val="000000"/>
        </w:rPr>
        <w:t>Mutilated, Destroyed, Lost and Stolen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case any such mutilated, destroyed, lost or stolen Security has become or is about to become due and payable, the Company in its discretion may, instead of issuing a new Security, pay such Security.</w:t>
      </w:r>
    </w:p>
    <w:p>
      <w:pPr>
        <w:spacing w:after="0" w:line="12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2.9 </w:t>
      </w:r>
      <w:r>
        <w:rPr>
          <w:rFonts w:ascii="Arial" w:cs="Arial" w:eastAsia="Arial" w:hAnsi="Arial"/>
          <w:sz w:val="22"/>
          <w:szCs w:val="22"/>
          <w:u w:val="single" w:color="auto"/>
          <w:color w:val="000000"/>
        </w:rPr>
        <w:t>Outstanding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Securities outstanding at any time are all the Securities authenticated by the Trustee except for those canceled by the Registrar, those delivered to it for cancellation,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22"/>
          <w:szCs w:val="22"/>
          <w:color w:val="auto"/>
        </w:rPr>
        <w:t>reductions in the interest on a Global Security effected by the Trustee in accordance with the provisions hereof and those described in this Section as not outstanding.</w:t>
      </w:r>
    </w:p>
    <w:p>
      <w:pPr>
        <w:spacing w:after="0" w:line="121"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If a Security is replaced pursuant to Section 2.8, it ceases to be outstanding until the Trustee receives proof satisfactory to it that the replaced Security is held by a bona fide purchaser.</w:t>
      </w:r>
    </w:p>
    <w:p>
      <w:pPr>
        <w:spacing w:after="0" w:line="10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1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2.10 </w:t>
      </w:r>
      <w:r>
        <w:rPr>
          <w:rFonts w:ascii="Arial" w:cs="Arial" w:eastAsia="Arial" w:hAnsi="Arial"/>
          <w:sz w:val="22"/>
          <w:szCs w:val="22"/>
          <w:u w:val="single" w:color="auto"/>
          <w:color w:val="000000"/>
        </w:rPr>
        <w:t>Treasury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conclusively relying on any such request, demand, authorization, direction, notice, consent or waiver, only Securities of a Series that a Responsible Officer of the Trustee actually knows are so owned shall be so disregarded. Securities so owned which have been pledged in good faith shall not be disregarded if the pledgee establishes to the satisfaction of the Trustee the pledgee’s right to deliver any such request, demand, authorization, direction, notice, consent or waiver with respect to the Securities and that the pledgee is not the Company or any other obligor upon the Securities or any Affiliate of the Company or of such other obligor.</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2.11 </w:t>
      </w:r>
      <w:r>
        <w:rPr>
          <w:rFonts w:ascii="Arial" w:cs="Arial" w:eastAsia="Arial" w:hAnsi="Arial"/>
          <w:sz w:val="22"/>
          <w:szCs w:val="22"/>
          <w:u w:val="single" w:color="auto"/>
          <w:color w:val="000000"/>
        </w:rPr>
        <w:t>Temporary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70" w:name="page71"/>
    <w:bookmarkEnd w:id="70"/>
    <w:p>
      <w:pPr>
        <w:ind w:left="1300"/>
        <w:spacing w:after="0"/>
        <w:rPr>
          <w:sz w:val="20"/>
          <w:szCs w:val="20"/>
          <w:color w:val="auto"/>
        </w:rPr>
      </w:pPr>
      <w:r>
        <w:rPr>
          <w:rFonts w:ascii="Arial" w:cs="Arial" w:eastAsia="Arial" w:hAnsi="Arial"/>
          <w:sz w:val="22"/>
          <w:szCs w:val="22"/>
          <w:color w:val="010000"/>
        </w:rPr>
        <w:t xml:space="preserve">Section 2.12 </w:t>
      </w:r>
      <w:r>
        <w:rPr>
          <w:rFonts w:ascii="Arial" w:cs="Arial" w:eastAsia="Arial" w:hAnsi="Arial"/>
          <w:sz w:val="22"/>
          <w:szCs w:val="22"/>
          <w:u w:val="single" w:color="auto"/>
          <w:color w:val="000000"/>
        </w:rPr>
        <w:t>Cancellation</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at any time may deliver Securities to the Trustee for cancellation. The Registrar and the Paying Agent, if not the Trustee, shall forward to the Trustee any Securities surrendered to them for registration of transfer, exchange or payment. The Trustee shall cancel all Securities surrendered for transfer, exchange, payment, replacement, conversion or cancellation and shall dispose of such canceled Securities (subject to the record retention requirement of the Exchange Act and the Trustee) in accordance with its customary procedures and deliver evidence of such cancellation to the Company upon written request of the Company. The Company may not issue new Securities to replace Securities that it has paid or delivered to the Trustee for cancellation.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2.13 </w:t>
      </w:r>
      <w:r>
        <w:rPr>
          <w:rFonts w:ascii="Arial" w:cs="Arial" w:eastAsia="Arial" w:hAnsi="Arial"/>
          <w:sz w:val="22"/>
          <w:szCs w:val="22"/>
          <w:u w:val="single" w:color="auto"/>
          <w:color w:val="000000"/>
        </w:rPr>
        <w:t>Defaulted Interest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If the Company defaults in a payment of interest on a Series of Securities, it may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mail to the Trustee and to each Securityholder of the Series a notice that states the special record date, the payment date and the amount of interest to be paid. The Company may pay defaulted interest in any other lawful manner.</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2.14 </w:t>
      </w:r>
      <w:r>
        <w:rPr>
          <w:rFonts w:ascii="Arial" w:cs="Arial" w:eastAsia="Arial" w:hAnsi="Arial"/>
          <w:sz w:val="22"/>
          <w:szCs w:val="22"/>
          <w:u w:val="single" w:color="auto"/>
          <w:color w:val="000000"/>
        </w:rPr>
        <w:t>Global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2.14.1. </w:t>
      </w:r>
      <w:r>
        <w:rPr>
          <w:rFonts w:ascii="Arial" w:cs="Arial" w:eastAsia="Arial" w:hAnsi="Arial"/>
          <w:sz w:val="22"/>
          <w:szCs w:val="22"/>
          <w:u w:val="single" w:color="auto"/>
          <w:color w:val="000000"/>
        </w:rPr>
        <w:t>Terms of Securities</w:t>
      </w:r>
      <w:r>
        <w:rPr>
          <w:rFonts w:ascii="Arial" w:cs="Arial" w:eastAsia="Arial" w:hAnsi="Arial"/>
          <w:sz w:val="22"/>
          <w:szCs w:val="22"/>
          <w:color w:val="000000"/>
        </w:rPr>
        <w:t>. A Board Resolution, a supplemental indenture hereto or an Officer’s Certificate shall</w:t>
      </w:r>
      <w:r>
        <w:rPr>
          <w:rFonts w:ascii="Arial" w:cs="Arial" w:eastAsia="Arial" w:hAnsi="Arial"/>
          <w:sz w:val="22"/>
          <w:szCs w:val="22"/>
          <w:color w:val="010000"/>
        </w:rPr>
        <w:t xml:space="preserve"> </w:t>
      </w:r>
      <w:r>
        <w:rPr>
          <w:rFonts w:ascii="Arial" w:cs="Arial" w:eastAsia="Arial" w:hAnsi="Arial"/>
          <w:sz w:val="22"/>
          <w:szCs w:val="22"/>
          <w:color w:val="000000"/>
        </w:rPr>
        <w:t>establish whether the Securities of a Series shall be issued in whole or in part in the form of one or more Global Securities and the Depositary for such Global Security or Securities.</w:t>
      </w:r>
    </w:p>
    <w:p>
      <w:pPr>
        <w:spacing w:after="0" w:line="14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010000"/>
        </w:rPr>
        <w:t xml:space="preserve">2.14.2. </w:t>
      </w:r>
      <w:r>
        <w:rPr>
          <w:rFonts w:ascii="Arial" w:cs="Arial" w:eastAsia="Arial" w:hAnsi="Arial"/>
          <w:sz w:val="19"/>
          <w:szCs w:val="19"/>
          <w:u w:val="single" w:color="auto"/>
          <w:color w:val="000000"/>
        </w:rPr>
        <w:t>Transfer and Exchange</w:t>
      </w:r>
      <w:r>
        <w:rPr>
          <w:rFonts w:ascii="Arial" w:cs="Arial" w:eastAsia="Arial" w:hAnsi="Arial"/>
          <w:sz w:val="19"/>
          <w:szCs w:val="19"/>
          <w:color w:val="000000"/>
        </w:rPr>
        <w:t>. Notwithstanding any provisions to the contrary contained in Section 2.7 of the</w:t>
      </w:r>
      <w:r>
        <w:rPr>
          <w:rFonts w:ascii="Arial" w:cs="Arial" w:eastAsia="Arial" w:hAnsi="Arial"/>
          <w:sz w:val="19"/>
          <w:szCs w:val="19"/>
          <w:color w:val="010000"/>
        </w:rPr>
        <w:t xml:space="preserve"> </w:t>
      </w:r>
      <w:r>
        <w:rPr>
          <w:rFonts w:ascii="Arial" w:cs="Arial" w:eastAsia="Arial" w:hAnsi="Arial"/>
          <w:sz w:val="19"/>
          <w:szCs w:val="19"/>
          <w:color w:val="000000"/>
        </w:rPr>
        <w:t>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Each Holder that is a transferor of a Security shall provide or cause to be provided to the Trustee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1" w:name="page72"/>
    <w:bookmarkEnd w:id="71"/>
    <w:p>
      <w:pPr>
        <w:jc w:val="both"/>
        <w:ind w:firstLine="1296"/>
        <w:spacing w:after="0" w:line="254" w:lineRule="auto"/>
        <w:rPr>
          <w:sz w:val="20"/>
          <w:szCs w:val="20"/>
          <w:color w:val="auto"/>
        </w:rPr>
      </w:pPr>
      <w:r>
        <w:rPr>
          <w:rFonts w:ascii="Arial" w:cs="Arial" w:eastAsia="Arial" w:hAnsi="Arial"/>
          <w:sz w:val="22"/>
          <w:szCs w:val="22"/>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010000"/>
        </w:rPr>
        <w:t xml:space="preserve">2.14.3. </w:t>
      </w:r>
      <w:r>
        <w:rPr>
          <w:rFonts w:ascii="Arial" w:cs="Arial" w:eastAsia="Arial" w:hAnsi="Arial"/>
          <w:sz w:val="19"/>
          <w:szCs w:val="19"/>
          <w:u w:val="single" w:color="auto"/>
          <w:color w:val="000000"/>
        </w:rPr>
        <w:t>Legend</w:t>
      </w:r>
      <w:r>
        <w:rPr>
          <w:rFonts w:ascii="Arial" w:cs="Arial" w:eastAsia="Arial" w:hAnsi="Arial"/>
          <w:sz w:val="19"/>
          <w:szCs w:val="19"/>
          <w:color w:val="000000"/>
        </w:rPr>
        <w:t>. Any Global Security issued hereunder shall bear a legend in substantially the following form:</w:t>
      </w:r>
    </w:p>
    <w:p>
      <w:pPr>
        <w:spacing w:after="0" w:line="20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2.14.4. </w:t>
      </w:r>
      <w:r>
        <w:rPr>
          <w:rFonts w:ascii="Arial" w:cs="Arial" w:eastAsia="Arial" w:hAnsi="Arial"/>
          <w:sz w:val="22"/>
          <w:szCs w:val="22"/>
          <w:u w:val="single" w:color="auto"/>
          <w:color w:val="000000"/>
        </w:rPr>
        <w:t>Acts of Holders</w:t>
      </w:r>
      <w:r>
        <w:rPr>
          <w:rFonts w:ascii="Arial" w:cs="Arial" w:eastAsia="Arial" w:hAnsi="Arial"/>
          <w:sz w:val="22"/>
          <w:szCs w:val="22"/>
          <w:color w:val="000000"/>
        </w:rPr>
        <w:t>. The Depositary, as a Holder, may appoint agents and otherwise authorize participants to</w:t>
      </w:r>
      <w:r>
        <w:rPr>
          <w:rFonts w:ascii="Arial" w:cs="Arial" w:eastAsia="Arial" w:hAnsi="Arial"/>
          <w:sz w:val="22"/>
          <w:szCs w:val="22"/>
          <w:color w:val="010000"/>
        </w:rPr>
        <w:t xml:space="preserve"> </w:t>
      </w:r>
      <w:r>
        <w:rPr>
          <w:rFonts w:ascii="Arial" w:cs="Arial" w:eastAsia="Arial" w:hAnsi="Arial"/>
          <w:sz w:val="22"/>
          <w:szCs w:val="22"/>
          <w:color w:val="000000"/>
        </w:rPr>
        <w:t>give or take any request, demand, authorization, direction, notice, consent, waiver or other action which a Holder is entitled to give or take under the Indenture.</w:t>
      </w:r>
    </w:p>
    <w:p>
      <w:pPr>
        <w:spacing w:after="0" w:line="14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2.14.5. </w:t>
      </w:r>
      <w:r>
        <w:rPr>
          <w:rFonts w:ascii="Arial" w:cs="Arial" w:eastAsia="Arial" w:hAnsi="Arial"/>
          <w:sz w:val="22"/>
          <w:szCs w:val="22"/>
          <w:u w:val="single" w:color="auto"/>
          <w:color w:val="000000"/>
        </w:rPr>
        <w:t>Payments</w:t>
      </w:r>
      <w:r>
        <w:rPr>
          <w:rFonts w:ascii="Arial" w:cs="Arial" w:eastAsia="Arial" w:hAnsi="Arial"/>
          <w:sz w:val="22"/>
          <w:szCs w:val="22"/>
          <w:color w:val="000000"/>
        </w:rPr>
        <w:t>. Notwithstanding the other provisions of this Indenture, unless otherwise specified as</w:t>
      </w:r>
      <w:r>
        <w:rPr>
          <w:rFonts w:ascii="Arial" w:cs="Arial" w:eastAsia="Arial" w:hAnsi="Arial"/>
          <w:sz w:val="22"/>
          <w:szCs w:val="22"/>
          <w:color w:val="010000"/>
        </w:rPr>
        <w:t xml:space="preserve"> </w:t>
      </w:r>
      <w:r>
        <w:rPr>
          <w:rFonts w:ascii="Arial" w:cs="Arial" w:eastAsia="Arial" w:hAnsi="Arial"/>
          <w:sz w:val="22"/>
          <w:szCs w:val="22"/>
          <w:color w:val="000000"/>
        </w:rPr>
        <w:t>contemplated by Section 2.2, payment of the principal of and interest, if any, on any Global Security shall be made to the Holder thereof.</w:t>
      </w:r>
    </w:p>
    <w:p>
      <w:pPr>
        <w:spacing w:after="0" w:line="131"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010000"/>
        </w:rPr>
        <w:t xml:space="preserve">2.14.6. </w:t>
      </w:r>
      <w:r>
        <w:rPr>
          <w:rFonts w:ascii="Arial" w:cs="Arial" w:eastAsia="Arial" w:hAnsi="Arial"/>
          <w:sz w:val="22"/>
          <w:szCs w:val="22"/>
          <w:u w:val="single" w:color="auto"/>
          <w:color w:val="000000"/>
        </w:rPr>
        <w:t>Consents, Declaration and Directions</w:t>
      </w:r>
      <w:r>
        <w:rPr>
          <w:rFonts w:ascii="Arial" w:cs="Arial" w:eastAsia="Arial" w:hAnsi="Arial"/>
          <w:sz w:val="22"/>
          <w:szCs w:val="22"/>
          <w:color w:val="000000"/>
        </w:rPr>
        <w:t>. The Company, the Trustee and any Agent shall treat a person as the</w:t>
      </w:r>
      <w:r>
        <w:rPr>
          <w:rFonts w:ascii="Arial" w:cs="Arial" w:eastAsia="Arial" w:hAnsi="Arial"/>
          <w:sz w:val="22"/>
          <w:szCs w:val="22"/>
          <w:color w:val="010000"/>
        </w:rPr>
        <w:t xml:space="preserve"> </w:t>
      </w:r>
      <w:r>
        <w:rPr>
          <w:rFonts w:ascii="Arial" w:cs="Arial" w:eastAsia="Arial" w:hAnsi="Arial"/>
          <w:sz w:val="22"/>
          <w:szCs w:val="22"/>
          <w:color w:val="000000"/>
        </w:rPr>
        <w:t>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2.15 </w:t>
      </w:r>
      <w:r>
        <w:rPr>
          <w:rFonts w:ascii="Arial" w:cs="Arial" w:eastAsia="Arial" w:hAnsi="Arial"/>
          <w:sz w:val="22"/>
          <w:szCs w:val="22"/>
          <w:u w:val="single" w:color="auto"/>
          <w:color w:val="000000"/>
        </w:rPr>
        <w:t>CUSIP Numbers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Trustee shall have no liability for any defect in the “CUSIP” numbers as they appear on any Security, notice or elsewhere. The Company will promptly notify the Trustee in writing of any change in the “CUSIP”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color w:val="010000"/>
        </w:rPr>
        <w:t>ARTICLE III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3.1 </w:t>
      </w:r>
      <w:r>
        <w:rPr>
          <w:rFonts w:ascii="Arial" w:cs="Arial" w:eastAsia="Arial" w:hAnsi="Arial"/>
          <w:sz w:val="22"/>
          <w:szCs w:val="22"/>
          <w:u w:val="single" w:color="auto"/>
          <w:color w:val="000000"/>
        </w:rPr>
        <w:t>Notice to Trustee</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to the Trustee at least 20 days before the redemption date, unless a shorter period is satisfactory to the Trustee, conditioned upon the delivery by the Company of a notice of redemption in accordance with Section 3.3.</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3.2 </w:t>
      </w:r>
      <w:r>
        <w:rPr>
          <w:rFonts w:ascii="Arial" w:cs="Arial" w:eastAsia="Arial" w:hAnsi="Arial"/>
          <w:sz w:val="22"/>
          <w:szCs w:val="22"/>
          <w:u w:val="single" w:color="auto"/>
          <w:color w:val="000000"/>
        </w:rPr>
        <w:t>Selection of Securities to be Redeemed</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including selecting </w:t>
      </w:r>
      <w:r>
        <w:rPr>
          <w:rFonts w:ascii="Arial" w:cs="Arial" w:eastAsia="Arial" w:hAnsi="Arial"/>
          <w:sz w:val="21"/>
          <w:szCs w:val="21"/>
          <w:i w:val="1"/>
          <w:iCs w:val="1"/>
          <w:color w:val="auto"/>
        </w:rPr>
        <w:t>pro rata</w:t>
      </w:r>
      <w:r>
        <w:rPr>
          <w:rFonts w:ascii="Arial" w:cs="Arial" w:eastAsia="Arial" w:hAnsi="Arial"/>
          <w:sz w:val="21"/>
          <w:szCs w:val="21"/>
          <w:color w:val="auto"/>
        </w:rPr>
        <w:t>, by lot or other method, unless otherwise required by law or applicable stock exchange requirements, subject, in the case of Global Securities, to the applicable rules and procedures of the Depositary.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3.3 </w:t>
      </w:r>
      <w:r>
        <w:rPr>
          <w:rFonts w:ascii="Arial" w:cs="Arial" w:eastAsia="Arial" w:hAnsi="Arial"/>
          <w:sz w:val="22"/>
          <w:szCs w:val="22"/>
          <w:u w:val="single" w:color="auto"/>
          <w:color w:val="000000"/>
        </w:rPr>
        <w:t>Notice of Redemption</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Unless otherwise indicated for a particular Series by Board Resolution, a supplemental indenture hereto or an Officer’s Certificate, at least 15 days but not more than 60 days before a redemption date, the Company shall mail a notice of redemption by first-class mail to each Holder whose Securities are to be redeemed.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notice shall identify the Securities of the Series to be redeemed and shall state:</w:t>
      </w:r>
    </w:p>
    <w:p>
      <w:pPr>
        <w:spacing w:after="0" w:line="166" w:lineRule="exact"/>
        <w:rPr>
          <w:sz w:val="20"/>
          <w:szCs w:val="20"/>
          <w:color w:val="auto"/>
        </w:rPr>
      </w:pPr>
    </w:p>
    <w:p>
      <w:pPr>
        <w:ind w:left="1580" w:hanging="276"/>
        <w:spacing w:after="0"/>
        <w:tabs>
          <w:tab w:leader="none" w:pos="1580"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the redemption date;</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73" w:name="page74"/>
    <w:bookmarkEnd w:id="73"/>
    <w:p>
      <w:pPr>
        <w:ind w:left="1580" w:hanging="276"/>
        <w:spacing w:after="0"/>
        <w:tabs>
          <w:tab w:leader="none" w:pos="158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name and address of the Paying Agent and, if applicable, the conversion Agent;</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for convertible Securities, the conversion price;</w:t>
      </w:r>
    </w:p>
    <w:p>
      <w:pPr>
        <w:spacing w:after="0" w:line="165" w:lineRule="exact"/>
        <w:rPr>
          <w:rFonts w:ascii="Arial" w:cs="Arial" w:eastAsia="Arial" w:hAnsi="Arial"/>
          <w:sz w:val="22"/>
          <w:szCs w:val="22"/>
          <w:color w:val="010000"/>
        </w:rPr>
      </w:pPr>
    </w:p>
    <w:p>
      <w:pPr>
        <w:jc w:val="both"/>
        <w:ind w:left="660" w:firstLine="644"/>
        <w:spacing w:after="0" w:line="254" w:lineRule="auto"/>
        <w:tabs>
          <w:tab w:leader="none" w:pos="162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30" w:lineRule="exact"/>
        <w:rPr>
          <w:rFonts w:ascii="Arial" w:cs="Arial" w:eastAsia="Arial" w:hAnsi="Arial"/>
          <w:sz w:val="22"/>
          <w:szCs w:val="22"/>
          <w:color w:val="010000"/>
        </w:rPr>
      </w:pPr>
    </w:p>
    <w:p>
      <w:pPr>
        <w:ind w:left="660" w:firstLine="644"/>
        <w:spacing w:after="0" w:line="263" w:lineRule="auto"/>
        <w:tabs>
          <w:tab w:leader="none" w:pos="1569"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that Securities of the Series (or portion thereof) called for redemption must be surrendered to the Paying Agent to collect the redemption price;</w:t>
      </w:r>
    </w:p>
    <w:p>
      <w:pPr>
        <w:spacing w:after="0" w:line="134" w:lineRule="exact"/>
        <w:rPr>
          <w:rFonts w:ascii="Arial" w:cs="Arial" w:eastAsia="Arial" w:hAnsi="Arial"/>
          <w:sz w:val="22"/>
          <w:szCs w:val="22"/>
          <w:color w:val="010000"/>
        </w:rPr>
      </w:pPr>
    </w:p>
    <w:p>
      <w:pPr>
        <w:ind w:left="660" w:firstLine="644"/>
        <w:spacing w:after="0" w:line="263" w:lineRule="auto"/>
        <w:tabs>
          <w:tab w:leader="none" w:pos="1605"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that interest on Securities of the Series called for redemption ceases to accrue on and after the redemption date unless the Company defaults in the deposit of the redemption price;</w:t>
      </w:r>
    </w:p>
    <w:p>
      <w:pPr>
        <w:spacing w:after="0" w:line="120" w:lineRule="exact"/>
        <w:rPr>
          <w:rFonts w:ascii="Arial" w:cs="Arial" w:eastAsia="Arial" w:hAnsi="Arial"/>
          <w:sz w:val="22"/>
          <w:szCs w:val="22"/>
          <w:color w:val="010000"/>
        </w:rPr>
      </w:pPr>
    </w:p>
    <w:p>
      <w:pPr>
        <w:ind w:left="660" w:firstLine="644"/>
        <w:spacing w:after="0" w:line="263" w:lineRule="auto"/>
        <w:tabs>
          <w:tab w:leader="none" w:pos="1618"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CUSIP number, if any, and state that no representation is made as to the correctness or accuracy of the CUSIP number, if any, listed in the SEC’s notice or printed on the Securities; and</w:t>
      </w:r>
    </w:p>
    <w:p>
      <w:pPr>
        <w:spacing w:after="0" w:line="120" w:lineRule="exact"/>
        <w:rPr>
          <w:rFonts w:ascii="Arial" w:cs="Arial" w:eastAsia="Arial" w:hAnsi="Arial"/>
          <w:sz w:val="22"/>
          <w:szCs w:val="22"/>
          <w:color w:val="010000"/>
        </w:rPr>
      </w:pPr>
    </w:p>
    <w:p>
      <w:pPr>
        <w:ind w:left="1560" w:hanging="256"/>
        <w:spacing w:after="0"/>
        <w:tabs>
          <w:tab w:leader="none" w:pos="1560"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any other information as may be required by the terms of the particular Series or the Securities of a Series being</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redeemed.</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34"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Notices of redemption pursuant to Section 3.3 may be subject to the satisfaction of one or more conditions precedent established by the Company in its sole discretion.</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3.4 </w:t>
      </w:r>
      <w:r>
        <w:rPr>
          <w:rFonts w:ascii="Arial" w:cs="Arial" w:eastAsia="Arial" w:hAnsi="Arial"/>
          <w:sz w:val="22"/>
          <w:szCs w:val="22"/>
          <w:u w:val="single" w:color="auto"/>
          <w:color w:val="000000"/>
        </w:rPr>
        <w:t>Effect of Notice of Redemption</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Once notice of redemption is mailed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other than Securities or portions of Securities called for redemption which have been delivered by the Company to the Registrar for cancellation. The Paying Agent shall return to the Company any money not required for that purpose because of conversion of Securities. The Paying Agent shall return to the Company any money not required for that purpose because of conversion of Securities.</w:t>
      </w:r>
    </w:p>
    <w:p>
      <w:pPr>
        <w:spacing w:after="0" w:line="13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Unless the Company shall default in the payment of Securities (and accrued interest) called for redemption, interest on such Securities shall cease to accrue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74" w:name="page75"/>
    <w:bookmarkEnd w:id="74"/>
    <w:p>
      <w:pPr>
        <w:jc w:val="both"/>
        <w:spacing w:after="0" w:line="251" w:lineRule="auto"/>
        <w:rPr>
          <w:sz w:val="20"/>
          <w:szCs w:val="20"/>
          <w:color w:val="auto"/>
        </w:rPr>
      </w:pPr>
      <w:r>
        <w:rPr>
          <w:rFonts w:ascii="Arial" w:cs="Arial" w:eastAsia="Arial" w:hAnsi="Arial"/>
          <w:sz w:val="22"/>
          <w:szCs w:val="22"/>
          <w:color w:val="auto"/>
        </w:rPr>
        <w:t>redemption date. Convertible Securities called for redemption shall cease to be convertible after the close of business on the Business Day immediately preceding the redemption date (unless the redemption date is also a record date for an interest payment, in which event they may be converted through the redemption date), unless the Company shall default in the payment of such Securities on the redemption date, in which event the Securities shall remain convertible until paid (together with accrued interest).</w:t>
      </w:r>
    </w:p>
    <w:p>
      <w:pPr>
        <w:spacing w:after="0" w:line="1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Failure to give notice of any defect in the notice to any Holder shall not affect the validity of notice to any Holder other than Securities or portions of Securities called for redemption which have been delivered by the Company to the Registrar for cancellation.</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3.5 </w:t>
      </w:r>
      <w:r>
        <w:rPr>
          <w:rFonts w:ascii="Arial" w:cs="Arial" w:eastAsia="Arial" w:hAnsi="Arial"/>
          <w:sz w:val="22"/>
          <w:szCs w:val="22"/>
          <w:u w:val="single" w:color="auto"/>
          <w:color w:val="000000"/>
        </w:rPr>
        <w:t>Deposit of Redemption Price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On or before 10:00 a.m., New York City time, on the redemption date, the Company shall deposit with the Paying Agent money sufficient to pay the redemption price of and accrued interest, if any, on all Securities to be redeemed on that date.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3.6 </w:t>
      </w:r>
      <w:r>
        <w:rPr>
          <w:rFonts w:ascii="Arial" w:cs="Arial" w:eastAsia="Arial" w:hAnsi="Arial"/>
          <w:sz w:val="22"/>
          <w:szCs w:val="22"/>
          <w:u w:val="single" w:color="auto"/>
          <w:color w:val="000000"/>
        </w:rPr>
        <w:t>Securities Redeemed in Part</w:t>
      </w:r>
      <w:r>
        <w:rPr>
          <w:rFonts w:ascii="Arial" w:cs="Arial" w:eastAsia="Arial" w:hAnsi="Arial"/>
          <w:sz w:val="22"/>
          <w:szCs w:val="22"/>
          <w:color w:val="000000"/>
        </w:rPr>
        <w:t>.</w:t>
      </w:r>
    </w:p>
    <w:p>
      <w:pPr>
        <w:spacing w:after="0" w:line="166"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4.1 </w:t>
      </w:r>
      <w:r>
        <w:rPr>
          <w:rFonts w:ascii="Arial" w:cs="Arial" w:eastAsia="Arial" w:hAnsi="Arial"/>
          <w:sz w:val="22"/>
          <w:szCs w:val="22"/>
          <w:u w:val="single" w:color="auto"/>
          <w:color w:val="000000"/>
        </w:rPr>
        <w:t>Payment of Principal and Interest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10:00 a.m., New York City time, on the applicable payment date, the Company shall deposit with the Paying Agent money sufficient to pay the principal of and interest, if any, on the Securities of each Series in accordance with the terms of such Securities and this Indenture. Principal and interest shall be considered paid on the date due if the Paying Agent holds in accordance with this Indenture on that date money sufficient to pay all principal and interest then due and the Paying Agent is not prohibited from paying such money to the Holders on such date pursuant to the terms of this Indenture.</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4.2 </w:t>
      </w:r>
      <w:r>
        <w:rPr>
          <w:rFonts w:ascii="Arial" w:cs="Arial" w:eastAsia="Arial" w:hAnsi="Arial"/>
          <w:sz w:val="22"/>
          <w:szCs w:val="22"/>
          <w:u w:val="single" w:color="auto"/>
          <w:color w:val="000000"/>
        </w:rPr>
        <w:t>SEC Reports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as applicable at the time. Reports, information and documents filed with the SEC via the EDGAR system will be deemed to be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75" w:name="page76"/>
    <w:bookmarkEnd w:id="75"/>
    <w:p>
      <w:pPr>
        <w:jc w:val="both"/>
        <w:ind w:right="20"/>
        <w:spacing w:after="0" w:line="343" w:lineRule="auto"/>
        <w:rPr>
          <w:sz w:val="20"/>
          <w:szCs w:val="20"/>
          <w:color w:val="auto"/>
        </w:rPr>
      </w:pPr>
      <w:r>
        <w:rPr>
          <w:rFonts w:ascii="Arial" w:cs="Arial" w:eastAsia="Arial" w:hAnsi="Arial"/>
          <w:sz w:val="19"/>
          <w:szCs w:val="19"/>
          <w:color w:val="auto"/>
        </w:rPr>
        <w:t>Trustee as of the time of such filing via EDGAR for purposes of this Section 4.2; provided, however, that the Trustee shall have no obligation whatsoever to determine whether or not such information, documents or reports have been filed via EDGAR.</w:t>
      </w:r>
    </w:p>
    <w:p>
      <w:pPr>
        <w:spacing w:after="0" w:line="5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4.3 </w:t>
      </w:r>
      <w:r>
        <w:rPr>
          <w:rFonts w:ascii="Arial" w:cs="Arial" w:eastAsia="Arial" w:hAnsi="Arial"/>
          <w:sz w:val="22"/>
          <w:szCs w:val="22"/>
          <w:u w:val="single" w:color="auto"/>
          <w:color w:val="000000"/>
        </w:rPr>
        <w:t>Compliance Certificate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To the extent any Securities of a Series are outstanding, the Company shall deliver to the Trustee, within 120 days after the end of each fiscal year of the Company, an Officer’s Certificate from its principal executive officer, principal financial officer or principal accounting officer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4.4 </w:t>
      </w:r>
      <w:r>
        <w:rPr>
          <w:rFonts w:ascii="Arial" w:cs="Arial" w:eastAsia="Arial" w:hAnsi="Arial"/>
          <w:sz w:val="22"/>
          <w:szCs w:val="22"/>
          <w:u w:val="single" w:color="auto"/>
          <w:color w:val="000000"/>
        </w:rPr>
        <w:t>Stay, Extension and Usury Laws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4.5 </w:t>
      </w:r>
      <w:r>
        <w:rPr>
          <w:rFonts w:ascii="Arial" w:cs="Arial" w:eastAsia="Arial" w:hAnsi="Arial"/>
          <w:sz w:val="22"/>
          <w:szCs w:val="22"/>
          <w:u w:val="single" w:color="auto"/>
          <w:color w:val="000000"/>
        </w:rPr>
        <w:t>Corporate Existence</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Subject to Article V, the Company will do or cause to be done all things necessary to preserve and keep in full force and effect its corporate existence and rights (charter and statutory); provided, however,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color w:val="010000"/>
        </w:rPr>
        <w:t>ARTICLE V</w:t>
      </w:r>
    </w:p>
    <w:p>
      <w:pPr>
        <w:spacing w:after="0" w:line="5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SUCCESSORS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5.1 </w:t>
      </w:r>
      <w:r>
        <w:rPr>
          <w:rFonts w:ascii="Arial" w:cs="Arial" w:eastAsia="Arial" w:hAnsi="Arial"/>
          <w:sz w:val="22"/>
          <w:szCs w:val="22"/>
          <w:u w:val="single" w:color="auto"/>
          <w:color w:val="000000"/>
        </w:rPr>
        <w:t>When Company May Merge, Etc</w:t>
      </w:r>
      <w:r>
        <w:rPr>
          <w:rFonts w:ascii="Arial" w:cs="Arial" w:eastAsia="Arial" w:hAnsi="Arial"/>
          <w:sz w:val="22"/>
          <w:szCs w:val="22"/>
          <w:color w:val="000000"/>
        </w:rPr>
        <w:t>.</w:t>
      </w:r>
    </w:p>
    <w:p>
      <w:pPr>
        <w:spacing w:after="0" w:line="17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Company shall not consolidate with or merge with or into, or convey, transfer or lease all or substantially all of its assets to, any person (a “</w:t>
      </w:r>
      <w:r>
        <w:rPr>
          <w:rFonts w:ascii="Arial" w:cs="Arial" w:eastAsia="Arial" w:hAnsi="Arial"/>
          <w:sz w:val="22"/>
          <w:szCs w:val="22"/>
          <w:i w:val="1"/>
          <w:iCs w:val="1"/>
          <w:color w:val="auto"/>
        </w:rPr>
        <w:t>successor person</w:t>
      </w:r>
      <w:r>
        <w:rPr>
          <w:rFonts w:ascii="Arial" w:cs="Arial" w:eastAsia="Arial" w:hAnsi="Arial"/>
          <w:sz w:val="22"/>
          <w:szCs w:val="22"/>
          <w:color w:val="auto"/>
        </w:rPr>
        <w:t>”) unless:</w:t>
      </w:r>
    </w:p>
    <w:p>
      <w:pPr>
        <w:spacing w:after="0" w:line="121" w:lineRule="exact"/>
        <w:rPr>
          <w:sz w:val="20"/>
          <w:szCs w:val="20"/>
          <w:color w:val="auto"/>
        </w:rPr>
      </w:pPr>
    </w:p>
    <w:p>
      <w:pPr>
        <w:ind w:left="660" w:firstLine="644"/>
        <w:spacing w:after="0" w:line="263" w:lineRule="auto"/>
        <w:tabs>
          <w:tab w:leader="none" w:pos="1606"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the Company is the surviving person or the successor person (if other than the Company) expressly assumes the Company’s obligations on the Securities and under this Indenture; and</w:t>
      </w:r>
    </w:p>
    <w:p>
      <w:pPr>
        <w:spacing w:after="0" w:line="120" w:lineRule="exact"/>
        <w:rPr>
          <w:rFonts w:ascii="Arial" w:cs="Arial" w:eastAsia="Arial" w:hAnsi="Arial"/>
          <w:sz w:val="22"/>
          <w:szCs w:val="22"/>
          <w:color w:val="010000"/>
        </w:rPr>
      </w:pPr>
    </w:p>
    <w:p>
      <w:pPr>
        <w:ind w:left="660" w:firstLine="644"/>
        <w:spacing w:after="0" w:line="276" w:lineRule="auto"/>
        <w:tabs>
          <w:tab w:leader="none" w:pos="1618"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immediately after giving effect to the transaction, no Default or Event of Default, shall have occurred and be continuing.</w:t>
      </w:r>
    </w:p>
    <w:p>
      <w:pPr>
        <w:spacing w:after="0" w:line="10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Company shall deliver to the Trustee prior to the consummation of the proposed transaction an Officer’s Certificate to the foregoing effect and an Opinion of Counsel stating that the proposed transaction and any supplemental indenture comply with Section 5.1 of this Indenture.</w:t>
      </w:r>
    </w:p>
    <w:p>
      <w:pPr>
        <w:spacing w:after="0" w:line="13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u w:val="single" w:color="auto"/>
          <w:color w:val="000000"/>
        </w:rPr>
        <w:t>Successor Corporation Substituted</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Upon any consolidation or merger, or any conveyance, transfer, or lease of all or substantially all of the assets of the Company in accordance with Section 5.1, the successor corporation formed by such consolidation or into or with which the Company is merged or to which such conveyance, transfer, or lease is made shall succeed to, and be substituted for, and may exercise every right and power of, the Company under this Indenture and the Securities with the same effect as if such successor person has been named as the Company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predecessor Company in the case of a conveyance or transfer (other than a lease) shall be released from all obligations and covenants under this Indenture and the Securities.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6.1 </w:t>
      </w:r>
      <w:r>
        <w:rPr>
          <w:rFonts w:ascii="Arial" w:cs="Arial" w:eastAsia="Arial" w:hAnsi="Arial"/>
          <w:sz w:val="22"/>
          <w:szCs w:val="22"/>
          <w:u w:val="single" w:color="auto"/>
          <w:color w:val="000000"/>
        </w:rPr>
        <w:t>Events of Default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31" w:lineRule="exact"/>
        <w:rPr>
          <w:sz w:val="20"/>
          <w:szCs w:val="20"/>
          <w:color w:val="auto"/>
        </w:rPr>
      </w:pPr>
    </w:p>
    <w:p>
      <w:pPr>
        <w:jc w:val="both"/>
        <w:ind w:left="660" w:firstLine="644"/>
        <w:spacing w:after="0" w:line="259" w:lineRule="auto"/>
        <w:tabs>
          <w:tab w:leader="none" w:pos="1606"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default in the payment of any interest on any Security of that Series when it becomes due and payable, and continuance of such default for a period of 30 days (unless the entire amount of such payment is deposited by the Company with the Trustee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22"/>
          <w:szCs w:val="22"/>
          <w:color w:val="auto"/>
        </w:rPr>
        <w:t>a Paying Agent prior to 10:00 a.m., New York City time, on the 30</w:t>
      </w:r>
      <w:r>
        <w:rPr>
          <w:rFonts w:ascii="Arial" w:cs="Arial" w:eastAsia="Arial" w:hAnsi="Arial"/>
          <w:sz w:val="14"/>
          <w:szCs w:val="14"/>
          <w:color w:val="auto"/>
        </w:rPr>
        <w:t>th</w:t>
      </w:r>
      <w:r>
        <w:rPr>
          <w:rFonts w:ascii="Arial" w:cs="Arial" w:eastAsia="Arial" w:hAnsi="Arial"/>
          <w:sz w:val="22"/>
          <w:szCs w:val="22"/>
          <w:color w:val="auto"/>
        </w:rPr>
        <w:t xml:space="preserve"> day of such period); or</w:t>
      </w:r>
    </w:p>
    <w:p>
      <w:pPr>
        <w:spacing w:after="0" w:line="166" w:lineRule="exact"/>
        <w:rPr>
          <w:sz w:val="20"/>
          <w:szCs w:val="20"/>
          <w:color w:val="auto"/>
        </w:rPr>
      </w:pPr>
    </w:p>
    <w:p>
      <w:pPr>
        <w:ind w:left="1600" w:hanging="296"/>
        <w:spacing w:after="0"/>
        <w:tabs>
          <w:tab w:leader="none" w:pos="1600"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default in the payment of principal of any Security of that Series at its Maturity; or</w:t>
      </w:r>
    </w:p>
    <w:p>
      <w:pPr>
        <w:spacing w:after="0" w:line="165" w:lineRule="exact"/>
        <w:rPr>
          <w:rFonts w:ascii="Arial" w:cs="Arial" w:eastAsia="Arial" w:hAnsi="Arial"/>
          <w:sz w:val="22"/>
          <w:szCs w:val="22"/>
          <w:color w:val="010000"/>
        </w:rPr>
      </w:pPr>
    </w:p>
    <w:p>
      <w:pPr>
        <w:jc w:val="both"/>
        <w:ind w:left="660" w:firstLine="644"/>
        <w:spacing w:after="0" w:line="297" w:lineRule="auto"/>
        <w:tabs>
          <w:tab w:leader="none" w:pos="1606"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default in the performance or breach of any covenant of the Company in this Indenture (other than defaults pursuant to paragraphs (a) or (b) above or pursuant to a covenant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05" w:lineRule="exact"/>
        <w:rPr>
          <w:rFonts w:ascii="Arial" w:cs="Arial" w:eastAsia="Arial" w:hAnsi="Arial"/>
          <w:sz w:val="19"/>
          <w:szCs w:val="19"/>
          <w:color w:val="010000"/>
        </w:rPr>
      </w:pPr>
    </w:p>
    <w:p>
      <w:pPr>
        <w:ind w:left="1600" w:hanging="296"/>
        <w:spacing w:after="0"/>
        <w:tabs>
          <w:tab w:leader="none" w:pos="1600"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the Company pursuant to or within the meaning of any Bankruptcy Law:</w:t>
      </w:r>
    </w:p>
    <w:p>
      <w:pPr>
        <w:spacing w:after="0" w:line="165" w:lineRule="exact"/>
        <w:rPr>
          <w:rFonts w:ascii="Arial" w:cs="Arial" w:eastAsia="Arial" w:hAnsi="Arial"/>
          <w:sz w:val="22"/>
          <w:szCs w:val="22"/>
          <w:color w:val="010000"/>
        </w:rPr>
      </w:pPr>
    </w:p>
    <w:p>
      <w:pPr>
        <w:ind w:left="2200" w:hanging="248"/>
        <w:spacing w:after="0"/>
        <w:tabs>
          <w:tab w:leader="none" w:pos="220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commences a voluntary case,</w:t>
      </w:r>
    </w:p>
    <w:p>
      <w:pPr>
        <w:spacing w:after="0" w:line="165" w:lineRule="exact"/>
        <w:rPr>
          <w:rFonts w:ascii="Arial" w:cs="Arial" w:eastAsia="Arial" w:hAnsi="Arial"/>
          <w:sz w:val="22"/>
          <w:szCs w:val="22"/>
          <w:color w:val="010000"/>
        </w:rPr>
      </w:pPr>
    </w:p>
    <w:p>
      <w:pPr>
        <w:ind w:left="2260" w:hanging="308"/>
        <w:spacing w:after="0"/>
        <w:tabs>
          <w:tab w:leader="none" w:pos="226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consents to the entry of an order for relief against it in an involuntary case,</w:t>
      </w:r>
    </w:p>
    <w:p>
      <w:pPr>
        <w:spacing w:after="0" w:line="165" w:lineRule="exact"/>
        <w:rPr>
          <w:rFonts w:ascii="Arial" w:cs="Arial" w:eastAsia="Arial" w:hAnsi="Arial"/>
          <w:sz w:val="22"/>
          <w:szCs w:val="22"/>
          <w:color w:val="010000"/>
        </w:rPr>
      </w:pPr>
    </w:p>
    <w:p>
      <w:pPr>
        <w:ind w:left="2320" w:hanging="368"/>
        <w:spacing w:after="0"/>
        <w:tabs>
          <w:tab w:leader="none" w:pos="2320" w:val="left"/>
        </w:tabs>
        <w:numPr>
          <w:ilvl w:val="1"/>
          <w:numId w:val="46"/>
        </w:numPr>
        <w:rPr>
          <w:rFonts w:ascii="Arial" w:cs="Arial" w:eastAsia="Arial" w:hAnsi="Arial"/>
          <w:sz w:val="21"/>
          <w:szCs w:val="21"/>
          <w:color w:val="010000"/>
        </w:rPr>
      </w:pPr>
      <w:r>
        <w:rPr>
          <w:rFonts w:ascii="Arial" w:cs="Arial" w:eastAsia="Arial" w:hAnsi="Arial"/>
          <w:sz w:val="21"/>
          <w:szCs w:val="21"/>
          <w:color w:val="auto"/>
        </w:rPr>
        <w:t>consents to the appointment of a Custodian of it or for all or substantially all of its property, or</w:t>
      </w:r>
    </w:p>
    <w:p>
      <w:pPr>
        <w:spacing w:after="0" w:line="177" w:lineRule="exact"/>
        <w:rPr>
          <w:rFonts w:ascii="Arial" w:cs="Arial" w:eastAsia="Arial" w:hAnsi="Arial"/>
          <w:sz w:val="21"/>
          <w:szCs w:val="21"/>
          <w:color w:val="010000"/>
        </w:rPr>
      </w:pPr>
    </w:p>
    <w:p>
      <w:pPr>
        <w:ind w:left="2300" w:hanging="348"/>
        <w:spacing w:after="0"/>
        <w:tabs>
          <w:tab w:leader="none" w:pos="230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makes a general assignment for the benefit of its creditors.</w:t>
      </w:r>
    </w:p>
    <w:p>
      <w:pPr>
        <w:spacing w:after="0" w:line="165" w:lineRule="exact"/>
        <w:rPr>
          <w:rFonts w:ascii="Arial" w:cs="Arial" w:eastAsia="Arial" w:hAnsi="Arial"/>
          <w:sz w:val="22"/>
          <w:szCs w:val="22"/>
          <w:color w:val="010000"/>
        </w:rPr>
      </w:pPr>
    </w:p>
    <w:p>
      <w:pPr>
        <w:ind w:left="1580" w:hanging="276"/>
        <w:spacing w:after="0"/>
        <w:tabs>
          <w:tab w:leader="none" w:pos="1580"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a court of competent jurisdiction enters an order or decree under any Bankruptcy Law that:</w:t>
      </w:r>
    </w:p>
    <w:p>
      <w:pPr>
        <w:spacing w:after="0" w:line="179" w:lineRule="exact"/>
        <w:rPr>
          <w:rFonts w:ascii="Arial" w:cs="Arial" w:eastAsia="Arial" w:hAnsi="Arial"/>
          <w:sz w:val="22"/>
          <w:szCs w:val="22"/>
          <w:color w:val="010000"/>
        </w:rPr>
      </w:pPr>
    </w:p>
    <w:p>
      <w:pPr>
        <w:ind w:left="2200" w:hanging="248"/>
        <w:spacing w:after="0"/>
        <w:tabs>
          <w:tab w:leader="none" w:pos="220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is for relief against the Company in an involuntary case,</w:t>
      </w:r>
    </w:p>
    <w:p>
      <w:pPr>
        <w:spacing w:after="0" w:line="165" w:lineRule="exact"/>
        <w:rPr>
          <w:rFonts w:ascii="Arial" w:cs="Arial" w:eastAsia="Arial" w:hAnsi="Arial"/>
          <w:sz w:val="22"/>
          <w:szCs w:val="22"/>
          <w:color w:val="010000"/>
        </w:rPr>
      </w:pPr>
    </w:p>
    <w:p>
      <w:pPr>
        <w:ind w:left="2260" w:hanging="308"/>
        <w:spacing w:after="0"/>
        <w:tabs>
          <w:tab w:leader="none" w:pos="226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appoints a Custodian of the Company or for all or substantially all of its property, or</w:t>
      </w:r>
    </w:p>
    <w:p>
      <w:pPr>
        <w:spacing w:after="0" w:line="165" w:lineRule="exact"/>
        <w:rPr>
          <w:rFonts w:ascii="Arial" w:cs="Arial" w:eastAsia="Arial" w:hAnsi="Arial"/>
          <w:sz w:val="22"/>
          <w:szCs w:val="22"/>
          <w:color w:val="010000"/>
        </w:rPr>
      </w:pPr>
    </w:p>
    <w:p>
      <w:pPr>
        <w:ind w:left="2320" w:hanging="368"/>
        <w:spacing w:after="0"/>
        <w:tabs>
          <w:tab w:leader="none" w:pos="232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orders the liquidation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 the order or decree remains unstayed and in effect for 60 days; or</w:t>
      </w:r>
    </w:p>
    <w:p>
      <w:pPr>
        <w:spacing w:after="0" w:line="166" w:lineRule="exact"/>
        <w:rPr>
          <w:sz w:val="20"/>
          <w:szCs w:val="20"/>
          <w:color w:val="auto"/>
        </w:rPr>
      </w:pPr>
    </w:p>
    <w:p>
      <w:pPr>
        <w:ind w:left="660" w:firstLine="644"/>
        <w:spacing w:after="0" w:line="301" w:lineRule="auto"/>
        <w:tabs>
          <w:tab w:leader="none" w:pos="1582"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any other Event of Default provided with respect to Securities of that Series, which is specified in a Board Resolution, a supplemental indenture hereto or an Officer’s Certificate, in accordance with Section 2.2.18.</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Bankruptcy Law</w:t>
      </w:r>
      <w:r>
        <w:rPr>
          <w:rFonts w:ascii="Arial" w:cs="Arial" w:eastAsia="Arial" w:hAnsi="Arial"/>
          <w:sz w:val="19"/>
          <w:szCs w:val="19"/>
          <w:color w:val="auto"/>
        </w:rPr>
        <w:t>” means title 11, U.S. Code or any similar Federal or State law for the relief of debtors.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Custodian</w:t>
      </w:r>
      <w:r>
        <w:rPr>
          <w:rFonts w:ascii="Arial" w:cs="Arial" w:eastAsia="Arial" w:hAnsi="Arial"/>
          <w:sz w:val="22"/>
          <w:szCs w:val="22"/>
          <w:color w:val="auto"/>
        </w:rPr>
        <w:t>” means any receiver, trustee, assignee, liquidator or similar official under any Bankruptcy Law.</w:t>
      </w:r>
    </w:p>
    <w:p>
      <w:pPr>
        <w:spacing w:after="0" w:line="148"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Company will, so long as any of the Securities are outstanding, deliver to the Trustee, within 30 days of becoming aware of any Default or Event of Default, an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78" w:name="page79"/>
    <w:bookmarkEnd w:id="78"/>
    <w:p>
      <w:pPr>
        <w:jc w:val="both"/>
        <w:ind w:right="20"/>
        <w:spacing w:after="0" w:line="263" w:lineRule="auto"/>
        <w:rPr>
          <w:sz w:val="20"/>
          <w:szCs w:val="20"/>
          <w:color w:val="auto"/>
        </w:rPr>
      </w:pPr>
      <w:r>
        <w:rPr>
          <w:rFonts w:ascii="Arial" w:cs="Arial" w:eastAsia="Arial" w:hAnsi="Arial"/>
          <w:sz w:val="22"/>
          <w:szCs w:val="22"/>
          <w:color w:val="auto"/>
        </w:rPr>
        <w:t>Certificate specifying such Default or Event of Default and what action the Company is taking or proposes to take with respect thereto.</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6.2 </w:t>
      </w:r>
      <w:r>
        <w:rPr>
          <w:rFonts w:ascii="Arial" w:cs="Arial" w:eastAsia="Arial" w:hAnsi="Arial"/>
          <w:sz w:val="22"/>
          <w:szCs w:val="22"/>
          <w:u w:val="single" w:color="auto"/>
          <w:color w:val="000000"/>
        </w:rPr>
        <w:t>Acceleration of Maturity; Rescission and Annulment</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9"/>
          <w:szCs w:val="19"/>
          <w:i w:val="1"/>
          <w:iCs w:val="1"/>
          <w:color w:val="auto"/>
        </w:rPr>
        <w:t>ipso facto</w:t>
      </w:r>
      <w:r>
        <w:rPr>
          <w:rFonts w:ascii="Arial" w:cs="Arial" w:eastAsia="Arial" w:hAnsi="Arial"/>
          <w:sz w:val="19"/>
          <w:szCs w:val="19"/>
          <w:color w:val="auto"/>
        </w:rPr>
        <w:t xml:space="preserve"> become and be immediately due and payable without any declaration or other act on the part of the Trustee or any Holder.</w:t>
      </w:r>
    </w:p>
    <w:p>
      <w:pPr>
        <w:spacing w:after="0" w:line="364"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such rescission shall affect any subsequent Default.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6.3 </w:t>
      </w:r>
      <w:r>
        <w:rPr>
          <w:rFonts w:ascii="Arial" w:cs="Arial" w:eastAsia="Arial" w:hAnsi="Arial"/>
          <w:sz w:val="22"/>
          <w:szCs w:val="22"/>
          <w:u w:val="single" w:color="auto"/>
          <w:color w:val="000000"/>
        </w:rPr>
        <w:t>Collection of Indebtedness and Suits for Enforcement by Trustee</w:t>
      </w:r>
      <w:r>
        <w:rPr>
          <w:rFonts w:ascii="Arial" w:cs="Arial" w:eastAsia="Arial" w:hAnsi="Arial"/>
          <w:sz w:val="22"/>
          <w:szCs w:val="22"/>
          <w:color w:val="000000"/>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covenants that if</w:t>
      </w:r>
    </w:p>
    <w:p>
      <w:pPr>
        <w:spacing w:after="0" w:line="166" w:lineRule="exact"/>
        <w:rPr>
          <w:sz w:val="20"/>
          <w:szCs w:val="20"/>
          <w:color w:val="auto"/>
        </w:rPr>
      </w:pPr>
    </w:p>
    <w:p>
      <w:pPr>
        <w:ind w:left="660" w:firstLine="644"/>
        <w:spacing w:after="0" w:line="263" w:lineRule="auto"/>
        <w:tabs>
          <w:tab w:leader="none" w:pos="1593"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default is made in the payment of any interest on any Security when such interest becomes due and payable and such default continues for a period of 30 days, or</w:t>
      </w:r>
    </w:p>
    <w:p>
      <w:pPr>
        <w:spacing w:after="0" w:line="134" w:lineRule="exact"/>
        <w:rPr>
          <w:rFonts w:ascii="Arial" w:cs="Arial" w:eastAsia="Arial" w:hAnsi="Arial"/>
          <w:sz w:val="22"/>
          <w:szCs w:val="22"/>
          <w:color w:val="010000"/>
        </w:rPr>
      </w:pPr>
    </w:p>
    <w:p>
      <w:pPr>
        <w:ind w:left="1600" w:hanging="296"/>
        <w:spacing w:after="0"/>
        <w:tabs>
          <w:tab w:leader="none" w:pos="1600"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default is made in the payment of principal of any Security at the Maturity thereof, or</w:t>
      </w:r>
    </w:p>
    <w:p>
      <w:pPr>
        <w:spacing w:after="0" w:line="165" w:lineRule="exact"/>
        <w:rPr>
          <w:rFonts w:ascii="Arial" w:cs="Arial" w:eastAsia="Arial" w:hAnsi="Arial"/>
          <w:sz w:val="22"/>
          <w:szCs w:val="22"/>
          <w:color w:val="010000"/>
        </w:rPr>
      </w:pPr>
    </w:p>
    <w:p>
      <w:pPr>
        <w:ind w:left="1580" w:hanging="276"/>
        <w:spacing w:after="0"/>
        <w:tabs>
          <w:tab w:leader="none" w:pos="1580"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default is made in the deposit of any sinking fund payment, if any, when and as due by the terms of a Security,</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then</w:t>
      </w:r>
      <w:r>
        <w:rPr>
          <w:rFonts w:ascii="Arial" w:cs="Arial" w:eastAsia="Arial" w:hAnsi="Arial"/>
          <w:sz w:val="19"/>
          <w:szCs w:val="19"/>
          <w:color w:val="auto"/>
        </w:rPr>
        <w:t>, the Company will, upon demand of the Trustee, pay to it, for the benefit of the Holders of such Securities, the whole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22"/>
          <w:szCs w:val="22"/>
          <w:color w:val="auto"/>
        </w:rPr>
        <w:t>and expenses of collection, including the reasonable compensation, expenses, disbursements and advances of the Trustee, its agents and counsel.</w:t>
      </w:r>
    </w:p>
    <w:p>
      <w:pPr>
        <w:spacing w:after="0" w:line="12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2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6.4 </w:t>
      </w:r>
      <w:r>
        <w:rPr>
          <w:rFonts w:ascii="Arial" w:cs="Arial" w:eastAsia="Arial" w:hAnsi="Arial"/>
          <w:sz w:val="22"/>
          <w:szCs w:val="22"/>
          <w:u w:val="single" w:color="auto"/>
          <w:color w:val="000000"/>
        </w:rPr>
        <w:t>Trustee May File Proofs of Claim</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In case of the pendency of any receivership, insolvency, liquidation, bankruptcy, reorganization, arrangement, adjustment, composition or other judicial proceeding relating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34" w:lineRule="exact"/>
        <w:rPr>
          <w:sz w:val="20"/>
          <w:szCs w:val="20"/>
          <w:color w:val="auto"/>
        </w:rPr>
      </w:pPr>
    </w:p>
    <w:p>
      <w:pPr>
        <w:jc w:val="both"/>
        <w:ind w:left="660" w:firstLine="644"/>
        <w:spacing w:after="0" w:line="265" w:lineRule="auto"/>
        <w:tabs>
          <w:tab w:leader="none" w:pos="1606" w:val="left"/>
        </w:tabs>
        <w:numPr>
          <w:ilvl w:val="0"/>
          <w:numId w:val="49"/>
        </w:numPr>
        <w:rPr>
          <w:rFonts w:ascii="Arial" w:cs="Arial" w:eastAsia="Arial" w:hAnsi="Arial"/>
          <w:sz w:val="21"/>
          <w:szCs w:val="21"/>
          <w:color w:val="010000"/>
        </w:rPr>
      </w:pPr>
      <w:r>
        <w:rPr>
          <w:rFonts w:ascii="Arial" w:cs="Arial" w:eastAsia="Arial" w:hAnsi="Arial"/>
          <w:sz w:val="21"/>
          <w:szCs w:val="21"/>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21" w:lineRule="exact"/>
        <w:rPr>
          <w:rFonts w:ascii="Arial" w:cs="Arial" w:eastAsia="Arial" w:hAnsi="Arial"/>
          <w:sz w:val="21"/>
          <w:szCs w:val="21"/>
          <w:color w:val="010000"/>
        </w:rPr>
      </w:pPr>
    </w:p>
    <w:p>
      <w:pPr>
        <w:ind w:left="1600" w:hanging="296"/>
        <w:spacing w:after="0"/>
        <w:tabs>
          <w:tab w:leader="none" w:pos="1600"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to collect and receive any moneys or other property payable or deliverable on any such claims and to distribute</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the same,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 To the extent that the payment of any such compensation, expenses, disbursements and advances of the Trustee, its agents and counsel, and any other amounts due the Trustee under Section 7.7 out of the estate in any such proceeding, shall be unpaid for any reason, payment of the same shall be secured by a lien on,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80" w:name="page81"/>
    <w:bookmarkEnd w:id="80"/>
    <w:p>
      <w:pPr>
        <w:jc w:val="both"/>
        <w:ind w:right="20"/>
        <w:spacing w:after="0" w:line="287" w:lineRule="auto"/>
        <w:rPr>
          <w:sz w:val="20"/>
          <w:szCs w:val="20"/>
          <w:color w:val="auto"/>
        </w:rPr>
      </w:pPr>
      <w:r>
        <w:rPr>
          <w:rFonts w:ascii="Arial" w:cs="Arial" w:eastAsia="Arial" w:hAnsi="Arial"/>
          <w:sz w:val="21"/>
          <w:szCs w:val="21"/>
          <w:color w:val="auto"/>
        </w:rPr>
        <w:t>paid out of, any and all distributions, dividends, money, securities and other properties that the Holders may be entitled to receive in such proceeding whether in liquidation or under any plan of reorganization or arrangement or otherwise.</w:t>
      </w:r>
    </w:p>
    <w:p>
      <w:pPr>
        <w:spacing w:after="0" w:line="97"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7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6.5 </w:t>
      </w:r>
      <w:r>
        <w:rPr>
          <w:rFonts w:ascii="Arial" w:cs="Arial" w:eastAsia="Arial" w:hAnsi="Arial"/>
          <w:sz w:val="22"/>
          <w:szCs w:val="22"/>
          <w:u w:val="single" w:color="auto"/>
          <w:color w:val="000000"/>
        </w:rPr>
        <w:t>Trustee May Enforce Claims Without Possession of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6.6 </w:t>
      </w:r>
      <w:r>
        <w:rPr>
          <w:rFonts w:ascii="Arial" w:cs="Arial" w:eastAsia="Arial" w:hAnsi="Arial"/>
          <w:sz w:val="22"/>
          <w:szCs w:val="22"/>
          <w:u w:val="single" w:color="auto"/>
          <w:color w:val="000000"/>
        </w:rPr>
        <w:t>Application of Money Collected</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First: To the payment of all amounts due to the Trustee under Section 7.7; and</w:t>
      </w:r>
    </w:p>
    <w:p>
      <w:pPr>
        <w:spacing w:after="0" w:line="16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21"/>
          <w:szCs w:val="21"/>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Third: To the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6.7 </w:t>
      </w:r>
      <w:r>
        <w:rPr>
          <w:rFonts w:ascii="Arial" w:cs="Arial" w:eastAsia="Arial" w:hAnsi="Arial"/>
          <w:sz w:val="22"/>
          <w:szCs w:val="22"/>
          <w:u w:val="single" w:color="auto"/>
          <w:color w:val="000000"/>
        </w:rPr>
        <w:t>Limitation on Suits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No Holder of any Security of any Series shall have any right to institute any proceeding, judicial or otherwise, with respect to this Indenture or the Securities of any Series, or for the appointment of a receiver or trustee, or for any other remedy hereunder, unless</w:t>
      </w:r>
    </w:p>
    <w:p>
      <w:pPr>
        <w:spacing w:after="0" w:line="126" w:lineRule="exact"/>
        <w:rPr>
          <w:sz w:val="20"/>
          <w:szCs w:val="20"/>
          <w:color w:val="auto"/>
        </w:rPr>
      </w:pPr>
    </w:p>
    <w:p>
      <w:pPr>
        <w:ind w:left="660" w:firstLine="644"/>
        <w:spacing w:after="0" w:line="263" w:lineRule="auto"/>
        <w:tabs>
          <w:tab w:leader="none" w:pos="1593"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20" w:lineRule="exact"/>
        <w:rPr>
          <w:rFonts w:ascii="Arial" w:cs="Arial" w:eastAsia="Arial" w:hAnsi="Arial"/>
          <w:sz w:val="22"/>
          <w:szCs w:val="22"/>
          <w:color w:val="010000"/>
        </w:rPr>
      </w:pPr>
    </w:p>
    <w:p>
      <w:pPr>
        <w:jc w:val="both"/>
        <w:ind w:left="660" w:firstLine="644"/>
        <w:spacing w:after="0" w:line="259" w:lineRule="auto"/>
        <w:tabs>
          <w:tab w:leader="none" w:pos="1618"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81" w:name="page82"/>
    <w:bookmarkEnd w:id="81"/>
    <w:p>
      <w:pPr>
        <w:ind w:left="660" w:right="20" w:firstLine="644"/>
        <w:spacing w:after="0" w:line="343" w:lineRule="auto"/>
        <w:tabs>
          <w:tab w:leader="none" w:pos="1593"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such Holder or Holders have offered to the Trustee indemnity or security satisfactory to the Trustee against the costs, expenses and liabilities which might be incurred by the Trustee in compliance with such request;</w:t>
      </w:r>
    </w:p>
    <w:p>
      <w:pPr>
        <w:spacing w:after="0" w:line="50" w:lineRule="exact"/>
        <w:rPr>
          <w:rFonts w:ascii="Arial" w:cs="Arial" w:eastAsia="Arial" w:hAnsi="Arial"/>
          <w:sz w:val="19"/>
          <w:szCs w:val="19"/>
          <w:color w:val="010000"/>
        </w:rPr>
      </w:pPr>
    </w:p>
    <w:p>
      <w:pPr>
        <w:ind w:left="660" w:firstLine="644"/>
        <w:spacing w:after="0" w:line="276" w:lineRule="auto"/>
        <w:tabs>
          <w:tab w:leader="none" w:pos="1605"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06" w:lineRule="exact"/>
        <w:rPr>
          <w:rFonts w:ascii="Arial" w:cs="Arial" w:eastAsia="Arial" w:hAnsi="Arial"/>
          <w:sz w:val="22"/>
          <w:szCs w:val="22"/>
          <w:color w:val="010000"/>
        </w:rPr>
      </w:pPr>
    </w:p>
    <w:p>
      <w:pPr>
        <w:ind w:left="660" w:firstLine="644"/>
        <w:spacing w:after="0" w:line="263" w:lineRule="auto"/>
        <w:tabs>
          <w:tab w:leader="none" w:pos="1593"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no direction inconsistent with such written request has been given to the Trustee during such 60-day period by the Holders of a majority in principal amount of the outstanding Securities of that Series;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provided, however, that the Trustee does not have an affirmative duty to ascertain whether or not such actions or forbearances are unduly prejudicial to such Holders.</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6.8 </w:t>
      </w:r>
      <w:r>
        <w:rPr>
          <w:rFonts w:ascii="Arial" w:cs="Arial" w:eastAsia="Arial" w:hAnsi="Arial"/>
          <w:sz w:val="22"/>
          <w:szCs w:val="22"/>
          <w:u w:val="single" w:color="auto"/>
          <w:color w:val="000000"/>
        </w:rPr>
        <w:t>Unconditional Right of Holders to Receive Principal and Interest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8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6.9 </w:t>
      </w:r>
      <w:r>
        <w:rPr>
          <w:rFonts w:ascii="Arial" w:cs="Arial" w:eastAsia="Arial" w:hAnsi="Arial"/>
          <w:sz w:val="22"/>
          <w:szCs w:val="22"/>
          <w:u w:val="single" w:color="auto"/>
          <w:color w:val="000000"/>
        </w:rPr>
        <w:t>Restoration of Rights and Remedies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6.10 </w:t>
      </w:r>
      <w:r>
        <w:rPr>
          <w:rFonts w:ascii="Arial" w:cs="Arial" w:eastAsia="Arial" w:hAnsi="Arial"/>
          <w:sz w:val="22"/>
          <w:szCs w:val="22"/>
          <w:u w:val="single" w:color="auto"/>
          <w:color w:val="000000"/>
        </w:rPr>
        <w:t>Rights and Remedies Cumulative</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22"/>
          <w:szCs w:val="22"/>
          <w:color w:val="auto"/>
        </w:rPr>
        <w:t>otherwise, shall not, to the extent permitted by law, prevent the concurrent assertion or employment of any other appropriate right or remedy.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6.11 </w:t>
      </w:r>
      <w:r>
        <w:rPr>
          <w:rFonts w:ascii="Arial" w:cs="Arial" w:eastAsia="Arial" w:hAnsi="Arial"/>
          <w:sz w:val="22"/>
          <w:szCs w:val="22"/>
          <w:u w:val="single" w:color="auto"/>
          <w:color w:val="000000"/>
        </w:rPr>
        <w:t>Delay or Omission Not Waiver</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6.12 </w:t>
      </w:r>
      <w:r>
        <w:rPr>
          <w:rFonts w:ascii="Arial" w:cs="Arial" w:eastAsia="Arial" w:hAnsi="Arial"/>
          <w:sz w:val="22"/>
          <w:szCs w:val="22"/>
          <w:u w:val="single" w:color="auto"/>
          <w:color w:val="000000"/>
        </w:rPr>
        <w:t>Control by Holders</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13" w:lineRule="exact"/>
        <w:rPr>
          <w:sz w:val="20"/>
          <w:szCs w:val="20"/>
          <w:color w:val="auto"/>
        </w:rPr>
      </w:pPr>
    </w:p>
    <w:p>
      <w:pPr>
        <w:ind w:left="1580" w:hanging="276"/>
        <w:spacing w:after="0"/>
        <w:tabs>
          <w:tab w:leader="none" w:pos="158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such direction shall not be in conflict with any rule of law or with this Indenture,</w:t>
      </w:r>
    </w:p>
    <w:p>
      <w:pPr>
        <w:spacing w:after="0" w:line="165" w:lineRule="exact"/>
        <w:rPr>
          <w:rFonts w:ascii="Arial" w:cs="Arial" w:eastAsia="Arial" w:hAnsi="Arial"/>
          <w:sz w:val="22"/>
          <w:szCs w:val="22"/>
          <w:color w:val="010000"/>
        </w:rPr>
      </w:pPr>
    </w:p>
    <w:p>
      <w:pPr>
        <w:ind w:left="1620" w:hanging="316"/>
        <w:spacing w:after="0"/>
        <w:tabs>
          <w:tab w:leader="none" w:pos="1620"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the Trustee may take any other action deemed proper by the Trustee which is not inconsistent with such</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direction,</w:t>
      </w:r>
    </w:p>
    <w:p>
      <w:pPr>
        <w:spacing w:after="0" w:line="161" w:lineRule="exact"/>
        <w:rPr>
          <w:rFonts w:ascii="Arial" w:cs="Arial" w:eastAsia="Arial" w:hAnsi="Arial"/>
          <w:sz w:val="19"/>
          <w:szCs w:val="19"/>
          <w:color w:val="010000"/>
        </w:rPr>
      </w:pPr>
    </w:p>
    <w:p>
      <w:pPr>
        <w:jc w:val="both"/>
        <w:ind w:left="660" w:firstLine="644"/>
        <w:spacing w:after="0" w:line="253" w:lineRule="auto"/>
        <w:tabs>
          <w:tab w:leader="none" w:pos="1593"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subject to the provisions of Section 6.1,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31" w:lineRule="exact"/>
        <w:rPr>
          <w:rFonts w:ascii="Arial" w:cs="Arial" w:eastAsia="Arial" w:hAnsi="Arial"/>
          <w:sz w:val="22"/>
          <w:szCs w:val="22"/>
          <w:color w:val="010000"/>
        </w:rPr>
      </w:pPr>
    </w:p>
    <w:p>
      <w:pPr>
        <w:jc w:val="both"/>
        <w:ind w:left="660" w:firstLine="644"/>
        <w:spacing w:after="0" w:line="259" w:lineRule="auto"/>
        <w:tabs>
          <w:tab w:leader="none" w:pos="1645"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6.13 </w:t>
      </w:r>
      <w:r>
        <w:rPr>
          <w:rFonts w:ascii="Arial" w:cs="Arial" w:eastAsia="Arial" w:hAnsi="Arial"/>
          <w:sz w:val="22"/>
          <w:szCs w:val="22"/>
          <w:u w:val="single" w:color="auto"/>
          <w:color w:val="000000"/>
        </w:rPr>
        <w:t>Waiver of Past Defaults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83" w:name="page84"/>
    <w:bookmarkEnd w:id="83"/>
    <w:p>
      <w:pPr>
        <w:ind w:left="1300"/>
        <w:spacing w:after="0"/>
        <w:rPr>
          <w:sz w:val="20"/>
          <w:szCs w:val="20"/>
          <w:color w:val="auto"/>
        </w:rPr>
      </w:pPr>
      <w:r>
        <w:rPr>
          <w:rFonts w:ascii="Arial" w:cs="Arial" w:eastAsia="Arial" w:hAnsi="Arial"/>
          <w:sz w:val="22"/>
          <w:szCs w:val="22"/>
          <w:color w:val="010000"/>
        </w:rPr>
        <w:t xml:space="preserve">Section 6.14 </w:t>
      </w:r>
      <w:r>
        <w:rPr>
          <w:rFonts w:ascii="Arial" w:cs="Arial" w:eastAsia="Arial" w:hAnsi="Arial"/>
          <w:sz w:val="22"/>
          <w:szCs w:val="22"/>
          <w:u w:val="single" w:color="auto"/>
          <w:color w:val="000000"/>
        </w:rPr>
        <w:t>Undertaking for Costs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7.1 </w:t>
      </w:r>
      <w:r>
        <w:rPr>
          <w:rFonts w:ascii="Arial" w:cs="Arial" w:eastAsia="Arial" w:hAnsi="Arial"/>
          <w:sz w:val="22"/>
          <w:szCs w:val="22"/>
          <w:u w:val="single" w:color="auto"/>
          <w:color w:val="000000"/>
        </w:rPr>
        <w:t>Duties of Trustee</w:t>
      </w:r>
      <w:r>
        <w:rPr>
          <w:rFonts w:ascii="Arial" w:cs="Arial" w:eastAsia="Arial" w:hAnsi="Arial"/>
          <w:sz w:val="22"/>
          <w:szCs w:val="22"/>
          <w:color w:val="000000"/>
        </w:rPr>
        <w:t>.</w:t>
      </w:r>
    </w:p>
    <w:p>
      <w:pPr>
        <w:spacing w:after="0" w:line="179" w:lineRule="exact"/>
        <w:rPr>
          <w:sz w:val="20"/>
          <w:szCs w:val="20"/>
          <w:color w:val="auto"/>
        </w:rPr>
      </w:pPr>
    </w:p>
    <w:p>
      <w:pPr>
        <w:jc w:val="both"/>
        <w:ind w:left="660" w:firstLine="644"/>
        <w:spacing w:after="0" w:line="253" w:lineRule="auto"/>
        <w:tabs>
          <w:tab w:leader="none" w:pos="1593"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31" w:lineRule="exact"/>
        <w:rPr>
          <w:rFonts w:ascii="Arial" w:cs="Arial" w:eastAsia="Arial" w:hAnsi="Arial"/>
          <w:sz w:val="22"/>
          <w:szCs w:val="22"/>
          <w:color w:val="010000"/>
        </w:rPr>
      </w:pPr>
    </w:p>
    <w:p>
      <w:pPr>
        <w:ind w:left="1600" w:hanging="296"/>
        <w:spacing w:after="0"/>
        <w:tabs>
          <w:tab w:leader="none" w:pos="160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Except during the continuance of an Event of Default:</w:t>
      </w:r>
    </w:p>
    <w:p>
      <w:pPr>
        <w:spacing w:after="0" w:line="165" w:lineRule="exact"/>
        <w:rPr>
          <w:rFonts w:ascii="Arial" w:cs="Arial" w:eastAsia="Arial" w:hAnsi="Arial"/>
          <w:sz w:val="22"/>
          <w:szCs w:val="22"/>
          <w:color w:val="010000"/>
        </w:rPr>
      </w:pPr>
    </w:p>
    <w:p>
      <w:pPr>
        <w:ind w:left="2200" w:hanging="248"/>
        <w:spacing w:after="0"/>
        <w:tabs>
          <w:tab w:leader="none" w:pos="2200"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The Trustee need perform only those duties that are specifically set forth in this Indenture and no others.</w:t>
      </w:r>
    </w:p>
    <w:p>
      <w:pPr>
        <w:spacing w:after="0" w:line="213" w:lineRule="exact"/>
        <w:rPr>
          <w:rFonts w:ascii="Arial" w:cs="Arial" w:eastAsia="Arial" w:hAnsi="Arial"/>
          <w:sz w:val="19"/>
          <w:szCs w:val="19"/>
          <w:color w:val="010000"/>
        </w:rPr>
      </w:pPr>
    </w:p>
    <w:p>
      <w:pPr>
        <w:jc w:val="both"/>
        <w:ind w:left="1300" w:firstLine="652"/>
        <w:spacing w:after="0" w:line="294" w:lineRule="auto"/>
        <w:tabs>
          <w:tab w:leader="none" w:pos="2297"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97" w:lineRule="exact"/>
        <w:rPr>
          <w:rFonts w:ascii="Arial" w:cs="Arial" w:eastAsia="Arial" w:hAnsi="Arial"/>
          <w:sz w:val="19"/>
          <w:szCs w:val="19"/>
          <w:color w:val="010000"/>
        </w:rPr>
      </w:pPr>
    </w:p>
    <w:p>
      <w:pPr>
        <w:ind w:left="660" w:right="20" w:firstLine="644"/>
        <w:spacing w:after="0" w:line="263" w:lineRule="auto"/>
        <w:tabs>
          <w:tab w:leader="none" w:pos="1593"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20" w:lineRule="exact"/>
        <w:rPr>
          <w:rFonts w:ascii="Arial" w:cs="Arial" w:eastAsia="Arial" w:hAnsi="Arial"/>
          <w:sz w:val="22"/>
          <w:szCs w:val="22"/>
          <w:color w:val="010000"/>
        </w:rPr>
      </w:pPr>
    </w:p>
    <w:p>
      <w:pPr>
        <w:ind w:left="2200" w:hanging="248"/>
        <w:spacing w:after="0"/>
        <w:tabs>
          <w:tab w:leader="none" w:pos="2200" w:val="left"/>
        </w:tabs>
        <w:numPr>
          <w:ilvl w:val="1"/>
          <w:numId w:val="53"/>
        </w:numPr>
        <w:rPr>
          <w:rFonts w:ascii="Arial" w:cs="Arial" w:eastAsia="Arial" w:hAnsi="Arial"/>
          <w:sz w:val="22"/>
          <w:szCs w:val="22"/>
          <w:color w:val="010000"/>
        </w:rPr>
      </w:pPr>
      <w:r>
        <w:rPr>
          <w:rFonts w:ascii="Arial" w:cs="Arial" w:eastAsia="Arial" w:hAnsi="Arial"/>
          <w:sz w:val="22"/>
          <w:szCs w:val="22"/>
          <w:color w:val="auto"/>
        </w:rPr>
        <w:t>This paragraph does not limit the effect of paragraph (b)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84" w:name="page85"/>
    <w:bookmarkEnd w:id="84"/>
    <w:p>
      <w:pPr>
        <w:ind w:left="180" w:right="20" w:firstLine="652"/>
        <w:spacing w:after="0" w:line="287" w:lineRule="auto"/>
        <w:tabs>
          <w:tab w:leader="none" w:pos="1137" w:val="left"/>
        </w:tabs>
        <w:numPr>
          <w:ilvl w:val="1"/>
          <w:numId w:val="54"/>
        </w:numPr>
        <w:rPr>
          <w:rFonts w:ascii="Arial" w:cs="Arial" w:eastAsia="Arial" w:hAnsi="Arial"/>
          <w:sz w:val="21"/>
          <w:szCs w:val="21"/>
          <w:color w:val="010000"/>
        </w:rPr>
      </w:pPr>
      <w:r>
        <w:rPr>
          <w:rFonts w:ascii="Arial" w:cs="Arial" w:eastAsia="Arial" w:hAnsi="Arial"/>
          <w:sz w:val="21"/>
          <w:szCs w:val="21"/>
          <w:color w:val="auto"/>
        </w:rPr>
        <w:t>The Trustee shall not be liable for any error of judgment made in good faith by a Responsible Officer, unless it is proved that the Trustee was negligent in ascertaining the pertinent facts.</w:t>
      </w:r>
    </w:p>
    <w:p>
      <w:pPr>
        <w:spacing w:after="0" w:line="97" w:lineRule="exact"/>
        <w:rPr>
          <w:rFonts w:ascii="Arial" w:cs="Arial" w:eastAsia="Arial" w:hAnsi="Arial"/>
          <w:sz w:val="21"/>
          <w:szCs w:val="21"/>
          <w:color w:val="010000"/>
        </w:rPr>
      </w:pPr>
    </w:p>
    <w:p>
      <w:pPr>
        <w:jc w:val="both"/>
        <w:ind w:left="180" w:firstLine="652"/>
        <w:spacing w:after="0" w:line="249" w:lineRule="auto"/>
        <w:tabs>
          <w:tab w:leader="none" w:pos="1210" w:val="left"/>
        </w:tabs>
        <w:numPr>
          <w:ilvl w:val="1"/>
          <w:numId w:val="54"/>
        </w:numPr>
        <w:rPr>
          <w:rFonts w:ascii="Arial" w:cs="Arial" w:eastAsia="Arial" w:hAnsi="Arial"/>
          <w:sz w:val="22"/>
          <w:szCs w:val="22"/>
          <w:color w:val="010000"/>
        </w:rPr>
      </w:pPr>
      <w:r>
        <w:rPr>
          <w:rFonts w:ascii="Arial" w:cs="Arial" w:eastAsia="Arial" w:hAnsi="Arial"/>
          <w:sz w:val="22"/>
          <w:szCs w:val="22"/>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53" w:lineRule="exact"/>
        <w:rPr>
          <w:rFonts w:ascii="Arial" w:cs="Arial" w:eastAsia="Arial" w:hAnsi="Arial"/>
          <w:sz w:val="22"/>
          <w:szCs w:val="22"/>
          <w:color w:val="010000"/>
        </w:rPr>
      </w:pPr>
    </w:p>
    <w:p>
      <w:pPr>
        <w:ind w:left="-460" w:firstLine="644"/>
        <w:spacing w:after="0" w:line="263" w:lineRule="auto"/>
        <w:tabs>
          <w:tab w:leader="none" w:pos="485"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Every provision of this Indenture that in any way relates to the Trustee is subject to paragraph (a), (b) and (c) of this Section.</w:t>
      </w:r>
    </w:p>
    <w:p>
      <w:pPr>
        <w:spacing w:after="0" w:line="120" w:lineRule="exact"/>
        <w:rPr>
          <w:rFonts w:ascii="Arial" w:cs="Arial" w:eastAsia="Arial" w:hAnsi="Arial"/>
          <w:sz w:val="22"/>
          <w:szCs w:val="22"/>
          <w:color w:val="010000"/>
        </w:rPr>
      </w:pPr>
    </w:p>
    <w:p>
      <w:pPr>
        <w:jc w:val="both"/>
        <w:ind w:left="-460" w:firstLine="644"/>
        <w:spacing w:after="0" w:line="253" w:lineRule="auto"/>
        <w:tabs>
          <w:tab w:leader="none" w:pos="50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31" w:lineRule="exact"/>
        <w:rPr>
          <w:rFonts w:ascii="Arial" w:cs="Arial" w:eastAsia="Arial" w:hAnsi="Arial"/>
          <w:sz w:val="22"/>
          <w:szCs w:val="22"/>
          <w:color w:val="010000"/>
        </w:rPr>
      </w:pPr>
    </w:p>
    <w:p>
      <w:pPr>
        <w:ind w:left="-460" w:firstLine="644"/>
        <w:spacing w:after="0" w:line="276" w:lineRule="auto"/>
        <w:tabs>
          <w:tab w:leader="none" w:pos="449"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The Trustee shall not be liable for interest on any money received by it. Money held in trust by the Trustee need not be segregated from other funds except to the extent required by law.</w:t>
      </w:r>
    </w:p>
    <w:p>
      <w:pPr>
        <w:spacing w:after="0" w:line="106" w:lineRule="exact"/>
        <w:rPr>
          <w:rFonts w:ascii="Arial" w:cs="Arial" w:eastAsia="Arial" w:hAnsi="Arial"/>
          <w:sz w:val="22"/>
          <w:szCs w:val="22"/>
          <w:color w:val="010000"/>
        </w:rPr>
      </w:pPr>
    </w:p>
    <w:p>
      <w:pPr>
        <w:jc w:val="both"/>
        <w:ind w:left="-460" w:firstLine="644"/>
        <w:spacing w:after="0" w:line="253" w:lineRule="auto"/>
        <w:tabs>
          <w:tab w:leader="none" w:pos="498"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31" w:lineRule="exact"/>
        <w:rPr>
          <w:rFonts w:ascii="Arial" w:cs="Arial" w:eastAsia="Arial" w:hAnsi="Arial"/>
          <w:sz w:val="22"/>
          <w:szCs w:val="22"/>
          <w:color w:val="010000"/>
        </w:rPr>
      </w:pPr>
    </w:p>
    <w:p>
      <w:pPr>
        <w:jc w:val="both"/>
        <w:ind w:left="-460" w:firstLine="644"/>
        <w:spacing w:after="0" w:line="259" w:lineRule="auto"/>
        <w:tabs>
          <w:tab w:leader="none" w:pos="539"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22"/>
          <w:szCs w:val="22"/>
          <w:color w:val="010000"/>
        </w:rPr>
        <w:t xml:space="preserve">Section 7.2 </w:t>
      </w:r>
      <w:r>
        <w:rPr>
          <w:rFonts w:ascii="Arial" w:cs="Arial" w:eastAsia="Arial" w:hAnsi="Arial"/>
          <w:sz w:val="22"/>
          <w:szCs w:val="22"/>
          <w:u w:val="single" w:color="auto"/>
          <w:color w:val="000000"/>
        </w:rPr>
        <w:t>Rights of Trustee</w:t>
      </w:r>
      <w:r>
        <w:rPr>
          <w:rFonts w:ascii="Arial" w:cs="Arial" w:eastAsia="Arial" w:hAnsi="Arial"/>
          <w:sz w:val="22"/>
          <w:szCs w:val="22"/>
          <w:color w:val="000000"/>
        </w:rPr>
        <w:t>.</w:t>
      </w:r>
    </w:p>
    <w:p>
      <w:pPr>
        <w:spacing w:after="0" w:line="166" w:lineRule="exact"/>
        <w:rPr>
          <w:sz w:val="20"/>
          <w:szCs w:val="20"/>
          <w:color w:val="auto"/>
        </w:rPr>
      </w:pPr>
    </w:p>
    <w:p>
      <w:pPr>
        <w:jc w:val="both"/>
        <w:ind w:left="-460" w:firstLine="644"/>
        <w:spacing w:after="0" w:line="259" w:lineRule="auto"/>
        <w:tabs>
          <w:tab w:leader="none" w:pos="473"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26" w:lineRule="exact"/>
        <w:rPr>
          <w:rFonts w:ascii="Arial" w:cs="Arial" w:eastAsia="Arial" w:hAnsi="Arial"/>
          <w:sz w:val="22"/>
          <w:szCs w:val="22"/>
          <w:color w:val="010000"/>
        </w:rPr>
      </w:pPr>
    </w:p>
    <w:p>
      <w:pPr>
        <w:jc w:val="both"/>
        <w:ind w:left="-460" w:firstLine="644"/>
        <w:spacing w:after="0" w:line="253" w:lineRule="auto"/>
        <w:tabs>
          <w:tab w:leader="none" w:pos="485"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31" w:lineRule="exact"/>
        <w:rPr>
          <w:rFonts w:ascii="Arial" w:cs="Arial" w:eastAsia="Arial" w:hAnsi="Arial"/>
          <w:sz w:val="22"/>
          <w:szCs w:val="22"/>
          <w:color w:val="010000"/>
        </w:rPr>
      </w:pPr>
    </w:p>
    <w:p>
      <w:pPr>
        <w:ind w:left="-460" w:firstLine="644"/>
        <w:spacing w:after="0" w:line="263" w:lineRule="auto"/>
        <w:tabs>
          <w:tab w:leader="none" w:pos="473"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The Trustee may act through agents and shall not be responsible for the misconduct or negligence of any agent appointed with due care. No Depositary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120"/>
          </w:cols>
          <w:pgMar w:left="1440" w:top="1428" w:right="3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deemed an agent of the Trustee and the Trustee shall not be responsible for any act or omission by any Depositary.</w:t>
      </w:r>
    </w:p>
    <w:p>
      <w:pPr>
        <w:spacing w:after="0" w:line="200" w:lineRule="exact"/>
        <w:rPr>
          <w:sz w:val="20"/>
          <w:szCs w:val="20"/>
          <w:color w:val="auto"/>
        </w:rPr>
      </w:pPr>
    </w:p>
    <w:p>
      <w:pPr>
        <w:jc w:val="both"/>
        <w:ind w:firstLine="644"/>
        <w:spacing w:after="0" w:line="259" w:lineRule="auto"/>
        <w:tabs>
          <w:tab w:leader="none" w:pos="958"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26" w:lineRule="exact"/>
        <w:rPr>
          <w:rFonts w:ascii="Arial" w:cs="Arial" w:eastAsia="Arial" w:hAnsi="Arial"/>
          <w:sz w:val="22"/>
          <w:szCs w:val="22"/>
          <w:color w:val="010000"/>
        </w:rPr>
      </w:pPr>
    </w:p>
    <w:p>
      <w:pPr>
        <w:jc w:val="both"/>
        <w:ind w:firstLine="644"/>
        <w:spacing w:after="0" w:line="253" w:lineRule="auto"/>
        <w:tabs>
          <w:tab w:leader="none" w:pos="960"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Trustee may consult with counsel of its selection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31" w:lineRule="exact"/>
        <w:rPr>
          <w:rFonts w:ascii="Arial" w:cs="Arial" w:eastAsia="Arial" w:hAnsi="Arial"/>
          <w:sz w:val="22"/>
          <w:szCs w:val="22"/>
          <w:color w:val="010000"/>
        </w:rPr>
      </w:pPr>
    </w:p>
    <w:p>
      <w:pPr>
        <w:jc w:val="both"/>
        <w:ind w:firstLine="644"/>
        <w:spacing w:after="0" w:line="254" w:lineRule="auto"/>
        <w:tabs>
          <w:tab w:leader="none" w:pos="909"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30" w:lineRule="exact"/>
        <w:rPr>
          <w:rFonts w:ascii="Arial" w:cs="Arial" w:eastAsia="Arial" w:hAnsi="Arial"/>
          <w:sz w:val="22"/>
          <w:szCs w:val="22"/>
          <w:color w:val="010000"/>
        </w:rPr>
      </w:pPr>
    </w:p>
    <w:p>
      <w:pPr>
        <w:jc w:val="both"/>
        <w:ind w:firstLine="644"/>
        <w:spacing w:after="0" w:line="251" w:lineRule="auto"/>
        <w:tabs>
          <w:tab w:leader="none" w:pos="958"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shall incur no liability or additional liability of any kind by reason of such inquiry or investigation.</w:t>
      </w:r>
    </w:p>
    <w:p>
      <w:pPr>
        <w:spacing w:after="0" w:line="135" w:lineRule="exact"/>
        <w:rPr>
          <w:rFonts w:ascii="Arial" w:cs="Arial" w:eastAsia="Arial" w:hAnsi="Arial"/>
          <w:sz w:val="22"/>
          <w:szCs w:val="22"/>
          <w:color w:val="010000"/>
        </w:rPr>
      </w:pPr>
    </w:p>
    <w:p>
      <w:pPr>
        <w:jc w:val="both"/>
        <w:ind w:firstLine="644"/>
        <w:spacing w:after="0" w:line="254" w:lineRule="auto"/>
        <w:tabs>
          <w:tab w:leader="none" w:pos="945"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30" w:lineRule="exact"/>
        <w:rPr>
          <w:rFonts w:ascii="Arial" w:cs="Arial" w:eastAsia="Arial" w:hAnsi="Arial"/>
          <w:sz w:val="22"/>
          <w:szCs w:val="22"/>
          <w:color w:val="010000"/>
        </w:rPr>
      </w:pPr>
    </w:p>
    <w:p>
      <w:pPr>
        <w:jc w:val="both"/>
        <w:ind w:right="20" w:firstLine="644"/>
        <w:spacing w:after="0" w:line="253" w:lineRule="auto"/>
        <w:tabs>
          <w:tab w:leader="none" w:pos="910"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31" w:lineRule="exact"/>
        <w:rPr>
          <w:rFonts w:ascii="Arial" w:cs="Arial" w:eastAsia="Arial" w:hAnsi="Arial"/>
          <w:sz w:val="22"/>
          <w:szCs w:val="22"/>
          <w:color w:val="010000"/>
        </w:rPr>
      </w:pPr>
    </w:p>
    <w:p>
      <w:pPr>
        <w:ind w:right="20" w:firstLine="644"/>
        <w:spacing w:after="0" w:line="276" w:lineRule="auto"/>
        <w:tabs>
          <w:tab w:leader="none" w:pos="897"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permissive right of the Trustee to take the actions permitted by this Indenture shall not be construed as an obligation or duty to do so.</w:t>
      </w:r>
    </w:p>
    <w:p>
      <w:pPr>
        <w:spacing w:after="0" w:line="106" w:lineRule="exact"/>
        <w:rPr>
          <w:rFonts w:ascii="Arial" w:cs="Arial" w:eastAsia="Arial" w:hAnsi="Arial"/>
          <w:sz w:val="22"/>
          <w:szCs w:val="22"/>
          <w:color w:val="010000"/>
        </w:rPr>
      </w:pPr>
    </w:p>
    <w:p>
      <w:pPr>
        <w:jc w:val="both"/>
        <w:ind w:firstLine="644"/>
        <w:spacing w:after="0" w:line="253" w:lineRule="auto"/>
        <w:tabs>
          <w:tab w:leader="none" w:pos="945"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31" w:lineRule="exact"/>
        <w:rPr>
          <w:rFonts w:ascii="Arial" w:cs="Arial" w:eastAsia="Arial" w:hAnsi="Arial"/>
          <w:sz w:val="22"/>
          <w:szCs w:val="22"/>
          <w:color w:val="010000"/>
        </w:rPr>
      </w:pPr>
    </w:p>
    <w:p>
      <w:pPr>
        <w:ind w:firstLine="644"/>
        <w:spacing w:after="0" w:line="263" w:lineRule="auto"/>
        <w:tabs>
          <w:tab w:leader="none" w:pos="910"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Trustee shall not be required to give any bond or surety in respect of the performance of its powers and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580"/>
          </w:cols>
          <w:pgMar w:left="980" w:top="1428" w:right="339" w:bottom="1440" w:gutter="0" w:footer="0" w:header="0"/>
        </w:sectPr>
      </w:pPr>
    </w:p>
    <w:bookmarkStart w:id="86" w:name="page87"/>
    <w:bookmarkEnd w:id="86"/>
    <w:p>
      <w:pPr>
        <w:ind w:left="660" w:right="20" w:firstLine="644"/>
        <w:spacing w:after="0" w:line="287" w:lineRule="auto"/>
        <w:tabs>
          <w:tab w:leader="none" w:pos="1678" w:val="left"/>
        </w:tabs>
        <w:numPr>
          <w:ilvl w:val="0"/>
          <w:numId w:val="58"/>
        </w:numPr>
        <w:rPr>
          <w:rFonts w:ascii="Arial" w:cs="Arial" w:eastAsia="Arial" w:hAnsi="Arial"/>
          <w:sz w:val="21"/>
          <w:szCs w:val="21"/>
          <w:color w:val="010000"/>
        </w:rPr>
      </w:pPr>
      <w:r>
        <w:rPr>
          <w:rFonts w:ascii="Arial" w:cs="Arial" w:eastAsia="Arial" w:hAnsi="Arial"/>
          <w:sz w:val="21"/>
          <w:szCs w:val="21"/>
          <w:color w:val="auto"/>
        </w:rPr>
        <w:t>The Trustee may request that the Company deliver a certificate setting forth the names of individuals and/or titles of officers authorized at such time to take specified actions pursuant to this Indenture.</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7.3 </w:t>
      </w:r>
      <w:r>
        <w:rPr>
          <w:rFonts w:ascii="Arial" w:cs="Arial" w:eastAsia="Arial" w:hAnsi="Arial"/>
          <w:sz w:val="22"/>
          <w:szCs w:val="22"/>
          <w:u w:val="single" w:color="auto"/>
          <w:color w:val="000000"/>
        </w:rPr>
        <w:t>Individual Rights of Trustee</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However, the Trustee is also subject to Sections 7.10 and 7.11.</w:t>
      </w:r>
    </w:p>
    <w:p>
      <w:pPr>
        <w:spacing w:after="0" w:line="11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7.4 </w:t>
      </w:r>
      <w:r>
        <w:rPr>
          <w:rFonts w:ascii="Arial" w:cs="Arial" w:eastAsia="Arial" w:hAnsi="Arial"/>
          <w:sz w:val="22"/>
          <w:szCs w:val="22"/>
          <w:u w:val="single" w:color="auto"/>
          <w:color w:val="000000"/>
        </w:rPr>
        <w:t>Trustee’s Disclaimer</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7.5 </w:t>
      </w:r>
      <w:r>
        <w:rPr>
          <w:rFonts w:ascii="Arial" w:cs="Arial" w:eastAsia="Arial" w:hAnsi="Arial"/>
          <w:sz w:val="22"/>
          <w:szCs w:val="22"/>
          <w:u w:val="single" w:color="auto"/>
          <w:color w:val="000000"/>
        </w:rPr>
        <w:t>Notice of Defaults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If a Default or Event of Default occurs and is continuing with respect to the Securities of any Series and if it is actually known to a Responsible Officer of the Trustee, the Trustee shall mail to each Securityholder of the Securities of that Series notice of a Default or Event of Default within 60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7.6 </w:t>
      </w:r>
      <w:r>
        <w:rPr>
          <w:rFonts w:ascii="Arial" w:cs="Arial" w:eastAsia="Arial" w:hAnsi="Arial"/>
          <w:sz w:val="22"/>
          <w:szCs w:val="22"/>
          <w:u w:val="single" w:color="auto"/>
          <w:color w:val="000000"/>
        </w:rPr>
        <w:t>Reports by Trustee to Holders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Within 60 days after May 15 in each year, the Trustee shall transmit by mail to all Securityholders, as their names and addresses appear on the register kept by the Registrar, a brief report dated as of such reporting date, in accordance with, and to the extent required under, TIA § 313.</w:t>
      </w:r>
    </w:p>
    <w:p>
      <w:pPr>
        <w:spacing w:after="0" w:line="12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of any delisting thereof.</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7.7 </w:t>
      </w:r>
      <w:r>
        <w:rPr>
          <w:rFonts w:ascii="Arial" w:cs="Arial" w:eastAsia="Arial" w:hAnsi="Arial"/>
          <w:sz w:val="22"/>
          <w:szCs w:val="22"/>
          <w:u w:val="single" w:color="auto"/>
          <w:color w:val="000000"/>
        </w:rPr>
        <w:t>Compensation and Indemnity</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87" w:name="page88"/>
    <w:bookmarkEnd w:id="87"/>
    <w:p>
      <w:pPr>
        <w:jc w:val="both"/>
        <w:ind w:firstLine="1296"/>
        <w:spacing w:after="0" w:line="291" w:lineRule="auto"/>
        <w:rPr>
          <w:sz w:val="20"/>
          <w:szCs w:val="20"/>
          <w:color w:val="auto"/>
        </w:rPr>
      </w:pPr>
      <w:r>
        <w:rPr>
          <w:rFonts w:ascii="Arial" w:cs="Arial" w:eastAsia="Arial" w:hAnsi="Arial"/>
          <w:sz w:val="19"/>
          <w:szCs w:val="19"/>
          <w:color w:val="auto"/>
        </w:rPr>
        <w:t>The Company shall indemnify each of the Trustee and any predecessor Trustee (including the cost of defending itself) against any cost, expense, claims (whether asserted by the Company, a Holder or any other Person) or liability, including taxes (other than taxes based upon, measured by or determined by the income of the Trustee) incurred by it except as set forth in the next paragraph in the performance of its duties under this Indenture and the enforcement of this Indenture (including this Section)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05"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5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provisions of this Section shall survive the termination of this Indenture or the resignation or removal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Trustee.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7.8 </w:t>
      </w:r>
      <w:r>
        <w:rPr>
          <w:rFonts w:ascii="Arial" w:cs="Arial" w:eastAsia="Arial" w:hAnsi="Arial"/>
          <w:sz w:val="22"/>
          <w:szCs w:val="22"/>
          <w:u w:val="single" w:color="auto"/>
          <w:color w:val="000000"/>
        </w:rPr>
        <w:t>Replacement of Trustee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w:t>
      </w:r>
    </w:p>
    <w:p>
      <w:pPr>
        <w:spacing w:after="0" w:line="12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1"/>
          <w:szCs w:val="21"/>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15" w:lineRule="exact"/>
        <w:rPr>
          <w:sz w:val="20"/>
          <w:szCs w:val="20"/>
          <w:color w:val="auto"/>
        </w:rPr>
      </w:pPr>
    </w:p>
    <w:p>
      <w:pPr>
        <w:ind w:left="1580" w:hanging="276"/>
        <w:spacing w:after="0"/>
        <w:tabs>
          <w:tab w:leader="none" w:pos="1580"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the Trustee fails to comply with Section 7.10;</w:t>
      </w:r>
    </w:p>
    <w:p>
      <w:pPr>
        <w:spacing w:after="0" w:line="165" w:lineRule="exact"/>
        <w:rPr>
          <w:rFonts w:ascii="Arial" w:cs="Arial" w:eastAsia="Arial" w:hAnsi="Arial"/>
          <w:sz w:val="22"/>
          <w:szCs w:val="22"/>
          <w:color w:val="010000"/>
        </w:rPr>
      </w:pPr>
    </w:p>
    <w:p>
      <w:pPr>
        <w:ind w:left="660" w:firstLine="644"/>
        <w:spacing w:after="0" w:line="263" w:lineRule="auto"/>
        <w:tabs>
          <w:tab w:leader="none" w:pos="1618"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88" w:name="page89"/>
    <w:bookmarkEnd w:id="88"/>
    <w:p>
      <w:pPr>
        <w:ind w:left="1580" w:hanging="276"/>
        <w:spacing w:after="0"/>
        <w:tabs>
          <w:tab w:leader="none" w:pos="1580"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a Custodian or public officer takes charge of the Trustee or its property; or</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the Trustee becomes incapable of acting.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3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31"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7.9 </w:t>
      </w:r>
      <w:r>
        <w:rPr>
          <w:rFonts w:ascii="Arial" w:cs="Arial" w:eastAsia="Arial" w:hAnsi="Arial"/>
          <w:sz w:val="22"/>
          <w:szCs w:val="22"/>
          <w:u w:val="single" w:color="auto"/>
          <w:color w:val="000000"/>
        </w:rPr>
        <w:t>Successor Trustee by Merger, Etc</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the Trustee consolidates with, merges or converts into, or transfers all or substantially all of its corporate trust business to, another corporation, the successor corporation without any further act shall be the successor Trustee, if such successor corporation is eligible and qualified under Section 7.10.</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7.10 </w:t>
      </w:r>
      <w:r>
        <w:rPr>
          <w:rFonts w:ascii="Arial" w:cs="Arial" w:eastAsia="Arial" w:hAnsi="Arial"/>
          <w:sz w:val="22"/>
          <w:szCs w:val="22"/>
          <w:u w:val="single" w:color="auto"/>
          <w:color w:val="000000"/>
        </w:rPr>
        <w:t>Eligibility; Disqualification</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7.11 </w:t>
      </w:r>
      <w:r>
        <w:rPr>
          <w:rFonts w:ascii="Arial" w:cs="Arial" w:eastAsia="Arial" w:hAnsi="Arial"/>
          <w:sz w:val="22"/>
          <w:szCs w:val="22"/>
          <w:u w:val="single" w:color="auto"/>
          <w:color w:val="000000"/>
        </w:rPr>
        <w:t>Preferential Collection of Claims Against Company</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Trustee is subject to TIA § 311(a), excluding any creditor relationship listed in TIA § 311(b). A Trustee who has resigned or been removed shall be subject to TIA § 311(a) to the extent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color w:val="010000"/>
        </w:rPr>
        <w:t>ARTICLE VIII</w:t>
      </w:r>
    </w:p>
    <w:p>
      <w:pPr>
        <w:spacing w:after="0" w:line="58" w:lineRule="exact"/>
        <w:rPr>
          <w:sz w:val="20"/>
          <w:szCs w:val="20"/>
          <w:color w:val="auto"/>
        </w:rPr>
      </w:pPr>
    </w:p>
    <w:p>
      <w:pPr>
        <w:ind w:left="1300" w:right="3200" w:firstLine="1907"/>
        <w:spacing w:after="0" w:line="403" w:lineRule="auto"/>
        <w:rPr>
          <w:sz w:val="20"/>
          <w:szCs w:val="20"/>
          <w:color w:val="auto"/>
        </w:rPr>
      </w:pPr>
      <w:r>
        <w:rPr>
          <w:rFonts w:ascii="Arial" w:cs="Arial" w:eastAsia="Arial" w:hAnsi="Arial"/>
          <w:sz w:val="22"/>
          <w:szCs w:val="22"/>
          <w:color w:val="auto"/>
        </w:rPr>
        <w:t xml:space="preserve">SATISFACTION AND DISCHARGE; DEFEASANCE </w:t>
      </w:r>
      <w:r>
        <w:rPr>
          <w:rFonts w:ascii="Arial" w:cs="Arial" w:eastAsia="Arial" w:hAnsi="Arial"/>
          <w:sz w:val="22"/>
          <w:szCs w:val="22"/>
          <w:color w:val="010000"/>
        </w:rPr>
        <w:t xml:space="preserve">Section 8.1 </w:t>
      </w:r>
      <w:r>
        <w:rPr>
          <w:rFonts w:ascii="Arial" w:cs="Arial" w:eastAsia="Arial" w:hAnsi="Arial"/>
          <w:sz w:val="22"/>
          <w:szCs w:val="22"/>
          <w:u w:val="single" w:color="auto"/>
          <w:color w:val="000000"/>
        </w:rPr>
        <w:t>Satisfaction and Discharge of Indenture</w:t>
      </w:r>
      <w:r>
        <w:rPr>
          <w:rFonts w:ascii="Arial" w:cs="Arial" w:eastAsia="Arial" w:hAnsi="Arial"/>
          <w:sz w:val="22"/>
          <w:szCs w:val="22"/>
          <w:color w:val="000000"/>
        </w:rPr>
        <w:t>.</w:t>
      </w:r>
    </w:p>
    <w:p>
      <w:pPr>
        <w:spacing w:after="0" w:line="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This Indenture shall upon Company Order cease to be of further effect (except as hereinafter provided in this Section 8.1), and the Trustee, at the expense of the Company, shall execute instruments acknowledging satisfaction and discharge of this Indenture, when</w:t>
      </w:r>
    </w:p>
    <w:p>
      <w:pPr>
        <w:spacing w:after="0" w:line="131" w:lineRule="exact"/>
        <w:rPr>
          <w:sz w:val="20"/>
          <w:szCs w:val="20"/>
          <w:color w:val="auto"/>
        </w:rPr>
      </w:pPr>
    </w:p>
    <w:p>
      <w:pPr>
        <w:ind w:left="1580" w:hanging="276"/>
        <w:spacing w:after="0"/>
        <w:tabs>
          <w:tab w:leader="none" w:pos="1580"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either</w:t>
      </w:r>
    </w:p>
    <w:p>
      <w:pPr>
        <w:spacing w:after="0" w:line="165" w:lineRule="exact"/>
        <w:rPr>
          <w:rFonts w:ascii="Arial" w:cs="Arial" w:eastAsia="Arial" w:hAnsi="Arial"/>
          <w:sz w:val="22"/>
          <w:szCs w:val="22"/>
          <w:color w:val="010000"/>
        </w:rPr>
      </w:pPr>
    </w:p>
    <w:p>
      <w:pPr>
        <w:jc w:val="both"/>
        <w:ind w:left="1300" w:right="20" w:firstLine="652"/>
        <w:spacing w:after="0" w:line="259" w:lineRule="auto"/>
        <w:tabs>
          <w:tab w:leader="none" w:pos="2210" w:val="left"/>
        </w:tabs>
        <w:numPr>
          <w:ilvl w:val="1"/>
          <w:numId w:val="61"/>
        </w:numPr>
        <w:rPr>
          <w:rFonts w:ascii="Arial" w:cs="Arial" w:eastAsia="Arial" w:hAnsi="Arial"/>
          <w:sz w:val="22"/>
          <w:szCs w:val="22"/>
          <w:color w:val="010000"/>
        </w:rPr>
      </w:pPr>
      <w:r>
        <w:rPr>
          <w:rFonts w:ascii="Arial" w:cs="Arial" w:eastAsia="Arial" w:hAnsi="Arial"/>
          <w:sz w:val="22"/>
          <w:szCs w:val="22"/>
          <w:color w:val="auto"/>
        </w:rPr>
        <w:t>all Securities theretofore authenticated and delivered (other than Securities that have been destroyed, lost or stolen and that have been replaced or paid as provided in Section 2.8) have been delivered to the Trustee for cancellation; or</w:t>
      </w:r>
    </w:p>
    <w:p>
      <w:pPr>
        <w:spacing w:after="0" w:line="126" w:lineRule="exact"/>
        <w:rPr>
          <w:rFonts w:ascii="Arial" w:cs="Arial" w:eastAsia="Arial" w:hAnsi="Arial"/>
          <w:sz w:val="22"/>
          <w:szCs w:val="22"/>
          <w:color w:val="010000"/>
        </w:rPr>
      </w:pPr>
    </w:p>
    <w:p>
      <w:pPr>
        <w:ind w:left="2260" w:hanging="308"/>
        <w:spacing w:after="0"/>
        <w:tabs>
          <w:tab w:leader="none" w:pos="2260" w:val="left"/>
        </w:tabs>
        <w:numPr>
          <w:ilvl w:val="1"/>
          <w:numId w:val="61"/>
        </w:numPr>
        <w:rPr>
          <w:rFonts w:ascii="Arial" w:cs="Arial" w:eastAsia="Arial" w:hAnsi="Arial"/>
          <w:sz w:val="22"/>
          <w:szCs w:val="22"/>
          <w:color w:val="010000"/>
        </w:rPr>
      </w:pPr>
      <w:r>
        <w:rPr>
          <w:rFonts w:ascii="Arial" w:cs="Arial" w:eastAsia="Arial" w:hAnsi="Arial"/>
          <w:sz w:val="22"/>
          <w:szCs w:val="22"/>
          <w:color w:val="auto"/>
        </w:rPr>
        <w:t>all such Securities not theretofore delivered to the Trustee for cancellation</w:t>
      </w:r>
    </w:p>
    <w:p>
      <w:pPr>
        <w:spacing w:after="0" w:line="165" w:lineRule="exact"/>
        <w:rPr>
          <w:rFonts w:ascii="Arial" w:cs="Arial" w:eastAsia="Arial" w:hAnsi="Arial"/>
          <w:sz w:val="22"/>
          <w:szCs w:val="22"/>
          <w:color w:val="010000"/>
        </w:rPr>
      </w:pPr>
    </w:p>
    <w:p>
      <w:pPr>
        <w:ind w:left="2900" w:hanging="300"/>
        <w:spacing w:after="0"/>
        <w:tabs>
          <w:tab w:leader="none" w:pos="2900" w:val="left"/>
        </w:tabs>
        <w:numPr>
          <w:ilvl w:val="2"/>
          <w:numId w:val="61"/>
        </w:numPr>
        <w:rPr>
          <w:rFonts w:ascii="Arial" w:cs="Arial" w:eastAsia="Arial" w:hAnsi="Arial"/>
          <w:sz w:val="22"/>
          <w:szCs w:val="22"/>
          <w:color w:val="010000"/>
        </w:rPr>
      </w:pPr>
      <w:r>
        <w:rPr>
          <w:rFonts w:ascii="Arial" w:cs="Arial" w:eastAsia="Arial" w:hAnsi="Arial"/>
          <w:sz w:val="22"/>
          <w:szCs w:val="22"/>
          <w:color w:val="auto"/>
        </w:rPr>
        <w:t>have become due and payable, or</w:t>
      </w:r>
    </w:p>
    <w:p>
      <w:pPr>
        <w:spacing w:after="0" w:line="165" w:lineRule="exact"/>
        <w:rPr>
          <w:rFonts w:ascii="Arial" w:cs="Arial" w:eastAsia="Arial" w:hAnsi="Arial"/>
          <w:sz w:val="22"/>
          <w:szCs w:val="22"/>
          <w:color w:val="010000"/>
        </w:rPr>
      </w:pPr>
    </w:p>
    <w:p>
      <w:pPr>
        <w:ind w:left="2900" w:hanging="300"/>
        <w:spacing w:after="0"/>
        <w:tabs>
          <w:tab w:leader="none" w:pos="2900" w:val="left"/>
        </w:tabs>
        <w:numPr>
          <w:ilvl w:val="2"/>
          <w:numId w:val="61"/>
        </w:numPr>
        <w:rPr>
          <w:rFonts w:ascii="Arial" w:cs="Arial" w:eastAsia="Arial" w:hAnsi="Arial"/>
          <w:sz w:val="22"/>
          <w:szCs w:val="22"/>
          <w:color w:val="010000"/>
        </w:rPr>
      </w:pPr>
      <w:r>
        <w:rPr>
          <w:rFonts w:ascii="Arial" w:cs="Arial" w:eastAsia="Arial" w:hAnsi="Arial"/>
          <w:sz w:val="22"/>
          <w:szCs w:val="22"/>
          <w:color w:val="auto"/>
        </w:rPr>
        <w:t>will become due and payable at their Stated Maturity within one year, or</w:t>
      </w:r>
    </w:p>
    <w:p>
      <w:pPr>
        <w:spacing w:after="0" w:line="165" w:lineRule="exact"/>
        <w:rPr>
          <w:rFonts w:ascii="Arial" w:cs="Arial" w:eastAsia="Arial" w:hAnsi="Arial"/>
          <w:sz w:val="22"/>
          <w:szCs w:val="22"/>
          <w:color w:val="010000"/>
        </w:rPr>
      </w:pPr>
    </w:p>
    <w:p>
      <w:pPr>
        <w:jc w:val="both"/>
        <w:ind w:left="1960" w:firstLine="640"/>
        <w:spacing w:after="0" w:line="259" w:lineRule="auto"/>
        <w:tabs>
          <w:tab w:leader="none" w:pos="2945" w:val="left"/>
        </w:tabs>
        <w:numPr>
          <w:ilvl w:val="2"/>
          <w:numId w:val="61"/>
        </w:numPr>
        <w:rPr>
          <w:rFonts w:ascii="Arial" w:cs="Arial" w:eastAsia="Arial" w:hAnsi="Arial"/>
          <w:sz w:val="22"/>
          <w:szCs w:val="22"/>
          <w:color w:val="010000"/>
        </w:rPr>
      </w:pPr>
      <w:r>
        <w:rPr>
          <w:rFonts w:ascii="Arial" w:cs="Arial" w:eastAsia="Arial" w:hAnsi="Arial"/>
          <w:sz w:val="22"/>
          <w:szCs w:val="22"/>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26" w:lineRule="exact"/>
        <w:rPr>
          <w:rFonts w:ascii="Arial" w:cs="Arial" w:eastAsia="Arial" w:hAnsi="Arial"/>
          <w:sz w:val="22"/>
          <w:szCs w:val="22"/>
          <w:color w:val="010000"/>
        </w:rPr>
      </w:pPr>
    </w:p>
    <w:p>
      <w:pPr>
        <w:ind w:left="2900" w:hanging="300"/>
        <w:spacing w:after="0"/>
        <w:tabs>
          <w:tab w:leader="none" w:pos="2900" w:val="left"/>
        </w:tabs>
        <w:numPr>
          <w:ilvl w:val="2"/>
          <w:numId w:val="61"/>
        </w:numPr>
        <w:rPr>
          <w:rFonts w:ascii="Arial" w:cs="Arial" w:eastAsia="Arial" w:hAnsi="Arial"/>
          <w:sz w:val="22"/>
          <w:szCs w:val="22"/>
          <w:color w:val="010000"/>
        </w:rPr>
      </w:pPr>
      <w:r>
        <w:rPr>
          <w:rFonts w:ascii="Arial" w:cs="Arial" w:eastAsia="Arial" w:hAnsi="Arial"/>
          <w:sz w:val="22"/>
          <w:szCs w:val="22"/>
          <w:color w:val="auto"/>
        </w:rPr>
        <w:t>are deemed paid and discharged pursuant to Section 8.3, as applicable;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and the Company, in the case of (1), (2) or (3) above, has irrevocably deposited or caused to be deposited with the Trustee as trust funds in trust an amount of money or U.S. Government Obligations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20" w:lineRule="exact"/>
        <w:rPr>
          <w:sz w:val="20"/>
          <w:szCs w:val="20"/>
          <w:color w:val="auto"/>
        </w:rPr>
      </w:pPr>
    </w:p>
    <w:p>
      <w:pPr>
        <w:ind w:left="1600" w:hanging="296"/>
        <w:spacing w:after="0"/>
        <w:tabs>
          <w:tab w:leader="none" w:pos="1600" w:val="left"/>
        </w:tabs>
        <w:numPr>
          <w:ilvl w:val="0"/>
          <w:numId w:val="62"/>
        </w:numPr>
        <w:rPr>
          <w:rFonts w:ascii="Arial" w:cs="Arial" w:eastAsia="Arial" w:hAnsi="Arial"/>
          <w:sz w:val="21"/>
          <w:szCs w:val="21"/>
          <w:color w:val="010000"/>
        </w:rPr>
      </w:pPr>
      <w:r>
        <w:rPr>
          <w:rFonts w:ascii="Arial" w:cs="Arial" w:eastAsia="Arial" w:hAnsi="Arial"/>
          <w:sz w:val="21"/>
          <w:szCs w:val="21"/>
          <w:color w:val="auto"/>
        </w:rPr>
        <w:t>the Company has paid or caused to be paid all other sums payable hereunder by the Company; and</w:t>
      </w:r>
    </w:p>
    <w:p>
      <w:pPr>
        <w:spacing w:after="0" w:line="177" w:lineRule="exact"/>
        <w:rPr>
          <w:rFonts w:ascii="Arial" w:cs="Arial" w:eastAsia="Arial" w:hAnsi="Arial"/>
          <w:sz w:val="21"/>
          <w:szCs w:val="21"/>
          <w:color w:val="010000"/>
        </w:rPr>
      </w:pPr>
    </w:p>
    <w:p>
      <w:pPr>
        <w:jc w:val="both"/>
        <w:ind w:left="660" w:firstLine="644"/>
        <w:spacing w:after="0" w:line="259" w:lineRule="auto"/>
        <w:tabs>
          <w:tab w:leader="none" w:pos="1593" w:val="left"/>
        </w:tabs>
        <w:numPr>
          <w:ilvl w:val="0"/>
          <w:numId w:val="62"/>
        </w:numPr>
        <w:rPr>
          <w:rFonts w:ascii="Arial" w:cs="Arial" w:eastAsia="Arial" w:hAnsi="Arial"/>
          <w:sz w:val="22"/>
          <w:szCs w:val="22"/>
          <w:color w:val="010000"/>
        </w:rPr>
      </w:pPr>
      <w:r>
        <w:rPr>
          <w:rFonts w:ascii="Arial" w:cs="Arial" w:eastAsia="Arial" w:hAnsi="Arial"/>
          <w:sz w:val="22"/>
          <w:szCs w:val="22"/>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26"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7.7, and, if money shall have been deposited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the Trustee pursuant to clause (a) of this Section, the provisions of Sections 2.4, 2.7, 2.8, 8.2 and 8.5 shall survive.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8.2 </w:t>
      </w:r>
      <w:r>
        <w:rPr>
          <w:rFonts w:ascii="Arial" w:cs="Arial" w:eastAsia="Arial" w:hAnsi="Arial"/>
          <w:sz w:val="22"/>
          <w:szCs w:val="22"/>
          <w:u w:val="single" w:color="auto"/>
          <w:color w:val="000000"/>
        </w:rPr>
        <w:t>Application of Trust Funds; Indemnification</w:t>
      </w:r>
      <w:r>
        <w:rPr>
          <w:rFonts w:ascii="Arial" w:cs="Arial" w:eastAsia="Arial" w:hAnsi="Arial"/>
          <w:sz w:val="22"/>
          <w:szCs w:val="22"/>
          <w:color w:val="000000"/>
        </w:rPr>
        <w:t>.</w:t>
      </w:r>
    </w:p>
    <w:p>
      <w:pPr>
        <w:spacing w:after="0" w:line="166" w:lineRule="exact"/>
        <w:rPr>
          <w:sz w:val="20"/>
          <w:szCs w:val="20"/>
          <w:color w:val="auto"/>
        </w:rPr>
      </w:pPr>
    </w:p>
    <w:p>
      <w:pPr>
        <w:jc w:val="both"/>
        <w:ind w:left="660" w:firstLine="644"/>
        <w:spacing w:after="0" w:line="262" w:lineRule="auto"/>
        <w:tabs>
          <w:tab w:leader="none" w:pos="1593" w:val="left"/>
        </w:tabs>
        <w:numPr>
          <w:ilvl w:val="0"/>
          <w:numId w:val="63"/>
        </w:numPr>
        <w:rPr>
          <w:rFonts w:ascii="Arial" w:cs="Arial" w:eastAsia="Arial" w:hAnsi="Arial"/>
          <w:sz w:val="21"/>
          <w:szCs w:val="21"/>
          <w:color w:val="010000"/>
        </w:rPr>
      </w:pPr>
      <w:r>
        <w:rPr>
          <w:rFonts w:ascii="Arial" w:cs="Arial" w:eastAsia="Arial" w:hAnsi="Arial"/>
          <w:sz w:val="21"/>
          <w:szCs w:val="21"/>
          <w:color w:val="auto"/>
        </w:rPr>
        <w:t>Subject to the provisions of Section 8.5, all money or U.S. Government Obligations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24" w:lineRule="exact"/>
        <w:rPr>
          <w:rFonts w:ascii="Arial" w:cs="Arial" w:eastAsia="Arial" w:hAnsi="Arial"/>
          <w:sz w:val="21"/>
          <w:szCs w:val="21"/>
          <w:color w:val="010000"/>
        </w:rPr>
      </w:pPr>
    </w:p>
    <w:p>
      <w:pPr>
        <w:jc w:val="both"/>
        <w:ind w:left="660" w:firstLine="644"/>
        <w:spacing w:after="0" w:line="312" w:lineRule="auto"/>
        <w:tabs>
          <w:tab w:leader="none" w:pos="1618"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92" w:lineRule="exact"/>
        <w:rPr>
          <w:rFonts w:ascii="Arial" w:cs="Arial" w:eastAsia="Arial" w:hAnsi="Arial"/>
          <w:sz w:val="19"/>
          <w:szCs w:val="19"/>
          <w:color w:val="010000"/>
        </w:rPr>
      </w:pPr>
    </w:p>
    <w:p>
      <w:pPr>
        <w:jc w:val="both"/>
        <w:ind w:left="660" w:firstLine="644"/>
        <w:spacing w:after="0" w:line="294" w:lineRule="auto"/>
        <w:tabs>
          <w:tab w:leader="none" w:pos="1593"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8.3 </w:t>
      </w:r>
      <w:r>
        <w:rPr>
          <w:rFonts w:ascii="Arial" w:cs="Arial" w:eastAsia="Arial" w:hAnsi="Arial"/>
          <w:sz w:val="22"/>
          <w:szCs w:val="22"/>
          <w:u w:val="single" w:color="auto"/>
          <w:color w:val="000000"/>
        </w:rPr>
        <w:t>Legal Defeasance of Securities of any Series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92" w:lineRule="exact"/>
        <w:rPr>
          <w:sz w:val="20"/>
          <w:szCs w:val="20"/>
          <w:color w:val="auto"/>
        </w:rPr>
      </w:pPr>
    </w:p>
    <w:p>
      <w:pPr>
        <w:ind w:left="660" w:right="20" w:firstLine="644"/>
        <w:spacing w:after="0" w:line="263" w:lineRule="auto"/>
        <w:tabs>
          <w:tab w:leader="none" w:pos="1593" w:val="left"/>
        </w:tabs>
        <w:numPr>
          <w:ilvl w:val="0"/>
          <w:numId w:val="64"/>
        </w:numPr>
        <w:rPr>
          <w:rFonts w:ascii="Arial" w:cs="Arial" w:eastAsia="Arial" w:hAnsi="Arial"/>
          <w:sz w:val="22"/>
          <w:szCs w:val="22"/>
          <w:color w:val="010000"/>
        </w:rPr>
      </w:pPr>
      <w:r>
        <w:rPr>
          <w:rFonts w:ascii="Arial" w:cs="Arial" w:eastAsia="Arial" w:hAnsi="Arial"/>
          <w:sz w:val="22"/>
          <w:szCs w:val="22"/>
          <w:color w:val="auto"/>
        </w:rPr>
        <w:t>the rights of Holders of Securities of such Series to receive, from the trust funds described in subparagraph (d) hereof, (i) payment of the principal of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91" w:name="page92"/>
    <w:bookmarkEnd w:id="91"/>
    <w:p>
      <w:pPr>
        <w:jc w:val="both"/>
        <w:ind w:left="660"/>
        <w:spacing w:after="0" w:line="254" w:lineRule="auto"/>
        <w:rPr>
          <w:sz w:val="20"/>
          <w:szCs w:val="20"/>
          <w:color w:val="auto"/>
        </w:rPr>
      </w:pPr>
      <w:r>
        <w:rPr>
          <w:rFonts w:ascii="Arial" w:cs="Arial" w:eastAsia="Arial" w:hAnsi="Arial"/>
          <w:sz w:val="22"/>
          <w:szCs w:val="22"/>
          <w:color w:val="auto"/>
        </w:rPr>
        <w:t>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31" w:lineRule="exact"/>
        <w:rPr>
          <w:sz w:val="20"/>
          <w:szCs w:val="20"/>
          <w:color w:val="auto"/>
        </w:rPr>
      </w:pPr>
    </w:p>
    <w:p>
      <w:pPr>
        <w:ind w:left="1600" w:hanging="296"/>
        <w:spacing w:after="0"/>
        <w:tabs>
          <w:tab w:leader="none" w:pos="1600"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the provisions of Sections 2.4, 2.7, 2.8, 8.2, 8.3 and 8.5; and</w:t>
      </w:r>
    </w:p>
    <w:p>
      <w:pPr>
        <w:spacing w:after="0" w:line="165" w:lineRule="exact"/>
        <w:rPr>
          <w:rFonts w:ascii="Arial" w:cs="Arial" w:eastAsia="Arial" w:hAnsi="Arial"/>
          <w:sz w:val="22"/>
          <w:szCs w:val="22"/>
          <w:color w:val="010000"/>
        </w:rPr>
      </w:pPr>
    </w:p>
    <w:p>
      <w:pPr>
        <w:ind w:left="1580" w:hanging="276"/>
        <w:spacing w:after="0"/>
        <w:tabs>
          <w:tab w:leader="none" w:pos="1580"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the rights, powers, trust and immunities of the Trustee hereunder and the Company’s obligations in connection</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therewith;</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provided that, the following conditions shall have been satisfied:</w:t>
      </w:r>
    </w:p>
    <w:p>
      <w:pPr>
        <w:spacing w:after="0" w:line="179" w:lineRule="exact"/>
        <w:rPr>
          <w:sz w:val="20"/>
          <w:szCs w:val="20"/>
          <w:color w:val="auto"/>
        </w:rPr>
      </w:pPr>
    </w:p>
    <w:p>
      <w:pPr>
        <w:jc w:val="both"/>
        <w:ind w:left="660" w:firstLine="644"/>
        <w:spacing w:after="0" w:line="260" w:lineRule="auto"/>
        <w:tabs>
          <w:tab w:leader="none" w:pos="1605" w:val="left"/>
        </w:tabs>
        <w:numPr>
          <w:ilvl w:val="1"/>
          <w:numId w:val="66"/>
        </w:numPr>
        <w:rPr>
          <w:rFonts w:ascii="Arial" w:cs="Arial" w:eastAsia="Arial" w:hAnsi="Arial"/>
          <w:sz w:val="21"/>
          <w:szCs w:val="21"/>
          <w:color w:val="010000"/>
        </w:rPr>
      </w:pPr>
      <w:r>
        <w:rPr>
          <w:rFonts w:ascii="Arial" w:cs="Arial" w:eastAsia="Arial" w:hAnsi="Arial"/>
          <w:sz w:val="21"/>
          <w:szCs w:val="21"/>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27" w:lineRule="exact"/>
        <w:rPr>
          <w:rFonts w:ascii="Arial" w:cs="Arial" w:eastAsia="Arial" w:hAnsi="Arial"/>
          <w:sz w:val="21"/>
          <w:szCs w:val="21"/>
          <w:color w:val="010000"/>
        </w:rPr>
      </w:pPr>
    </w:p>
    <w:p>
      <w:pPr>
        <w:ind w:left="660" w:firstLine="644"/>
        <w:spacing w:after="0" w:line="263" w:lineRule="auto"/>
        <w:tabs>
          <w:tab w:leader="none" w:pos="1593"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such deposit will not result in a breach or violation of, or constitute a default under, this Indenture or any other agreement or instrument to which the Company is a party or by which it is bound;</w:t>
      </w:r>
    </w:p>
    <w:p>
      <w:pPr>
        <w:spacing w:after="0" w:line="120" w:lineRule="exact"/>
        <w:rPr>
          <w:rFonts w:ascii="Arial" w:cs="Arial" w:eastAsia="Arial" w:hAnsi="Arial"/>
          <w:sz w:val="22"/>
          <w:szCs w:val="22"/>
          <w:color w:val="010000"/>
        </w:rPr>
      </w:pPr>
    </w:p>
    <w:p>
      <w:pPr>
        <w:ind w:left="660" w:firstLine="644"/>
        <w:spacing w:after="0" w:line="263" w:lineRule="auto"/>
        <w:tabs>
          <w:tab w:leader="none" w:pos="1609"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no Default or Event of Default with respect to the Securities of such Series shall have occurred and be continuing on the date of such deposit or during the period ending on the 91st day after such date;</w:t>
      </w:r>
    </w:p>
    <w:p>
      <w:pPr>
        <w:spacing w:after="0" w:line="134" w:lineRule="exact"/>
        <w:rPr>
          <w:rFonts w:ascii="Arial" w:cs="Arial" w:eastAsia="Arial" w:hAnsi="Arial"/>
          <w:sz w:val="22"/>
          <w:szCs w:val="22"/>
          <w:color w:val="010000"/>
        </w:rPr>
      </w:pPr>
    </w:p>
    <w:p>
      <w:pPr>
        <w:jc w:val="both"/>
        <w:ind w:left="660" w:firstLine="644"/>
        <w:spacing w:after="0" w:line="291" w:lineRule="auto"/>
        <w:tabs>
          <w:tab w:leader="none" w:pos="1632" w:val="left"/>
        </w:tabs>
        <w:numPr>
          <w:ilvl w:val="1"/>
          <w:numId w:val="66"/>
        </w:numPr>
        <w:rPr>
          <w:rFonts w:ascii="Arial" w:cs="Arial" w:eastAsia="Arial" w:hAnsi="Arial"/>
          <w:sz w:val="19"/>
          <w:szCs w:val="19"/>
          <w:color w:val="010000"/>
        </w:rPr>
      </w:pPr>
      <w:r>
        <w:rPr>
          <w:rFonts w:ascii="Arial" w:cs="Arial" w:eastAsia="Arial" w:hAnsi="Arial"/>
          <w:sz w:val="19"/>
          <w:szCs w:val="19"/>
          <w:color w:val="auto"/>
        </w:rPr>
        <w:t>the Company shall have delivered to the Trustee an Officer’s Certificate and an Opinion of Counsel to the effect that (i) the Company has received from, or there has been published by, the Internal Revenue Service a ruling, or</w:t>
      </w:r>
    </w:p>
    <w:p>
      <w:pPr>
        <w:spacing w:after="0" w:line="1" w:lineRule="exact"/>
        <w:rPr>
          <w:rFonts w:ascii="Arial" w:cs="Arial" w:eastAsia="Arial" w:hAnsi="Arial"/>
          <w:sz w:val="19"/>
          <w:szCs w:val="19"/>
          <w:color w:val="010000"/>
        </w:rPr>
      </w:pPr>
    </w:p>
    <w:p>
      <w:pPr>
        <w:jc w:val="both"/>
        <w:ind w:left="660" w:hanging="4"/>
        <w:spacing w:after="0" w:line="295" w:lineRule="auto"/>
        <w:tabs>
          <w:tab w:leader="none" w:pos="1002" w:val="left"/>
        </w:tabs>
        <w:numPr>
          <w:ilvl w:val="0"/>
          <w:numId w:val="67"/>
        </w:numPr>
        <w:rPr>
          <w:rFonts w:ascii="Arial" w:cs="Arial" w:eastAsia="Arial" w:hAnsi="Arial"/>
          <w:sz w:val="19"/>
          <w:szCs w:val="19"/>
          <w:color w:val="auto"/>
        </w:rPr>
      </w:pPr>
      <w:r>
        <w:rPr>
          <w:rFonts w:ascii="Arial" w:cs="Arial" w:eastAsia="Arial" w:hAnsi="Arial"/>
          <w:sz w:val="19"/>
          <w:szCs w:val="19"/>
          <w:color w:val="auto"/>
        </w:rPr>
        <w:t>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19"/>
          <w:szCs w:val="19"/>
          <w:color w:val="auto"/>
        </w:rPr>
        <w:t>manner and at the same times as would have been the case if such deposit, defeasance and discharge had not occurred;</w:t>
      </w:r>
    </w:p>
    <w:p>
      <w:pPr>
        <w:spacing w:after="0" w:line="200" w:lineRule="exact"/>
        <w:rPr>
          <w:sz w:val="20"/>
          <w:szCs w:val="20"/>
          <w:color w:val="auto"/>
        </w:rPr>
      </w:pPr>
    </w:p>
    <w:p>
      <w:pPr>
        <w:ind w:left="660" w:firstLine="644"/>
        <w:spacing w:after="0" w:line="343" w:lineRule="auto"/>
        <w:tabs>
          <w:tab w:leader="none" w:pos="1605"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63" w:lineRule="exact"/>
        <w:rPr>
          <w:rFonts w:ascii="Arial" w:cs="Arial" w:eastAsia="Arial" w:hAnsi="Arial"/>
          <w:sz w:val="19"/>
          <w:szCs w:val="19"/>
          <w:color w:val="010000"/>
        </w:rPr>
      </w:pPr>
    </w:p>
    <w:p>
      <w:pPr>
        <w:jc w:val="both"/>
        <w:ind w:left="660" w:firstLine="644"/>
        <w:spacing w:after="0" w:line="253" w:lineRule="auto"/>
        <w:tabs>
          <w:tab w:leader="none" w:pos="1584"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8.4 </w:t>
      </w:r>
      <w:r>
        <w:rPr>
          <w:rFonts w:ascii="Arial" w:cs="Arial" w:eastAsia="Arial" w:hAnsi="Arial"/>
          <w:sz w:val="22"/>
          <w:szCs w:val="22"/>
          <w:u w:val="single" w:color="auto"/>
          <w:color w:val="000000"/>
        </w:rPr>
        <w:t>Covenant Defeasance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100" w:lineRule="exact"/>
        <w:rPr>
          <w:sz w:val="20"/>
          <w:szCs w:val="20"/>
          <w:color w:val="auto"/>
        </w:rPr>
      </w:pPr>
    </w:p>
    <w:p>
      <w:pPr>
        <w:jc w:val="both"/>
        <w:ind w:left="660" w:firstLine="644"/>
        <w:spacing w:after="0" w:line="290" w:lineRule="auto"/>
        <w:tabs>
          <w:tab w:leader="none" w:pos="1593"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98" w:lineRule="exact"/>
        <w:rPr>
          <w:rFonts w:ascii="Arial" w:cs="Arial" w:eastAsia="Arial" w:hAnsi="Arial"/>
          <w:sz w:val="19"/>
          <w:szCs w:val="19"/>
          <w:color w:val="010000"/>
        </w:rPr>
      </w:pPr>
    </w:p>
    <w:p>
      <w:pPr>
        <w:ind w:left="660" w:firstLine="644"/>
        <w:spacing w:after="0" w:line="263" w:lineRule="auto"/>
        <w:tabs>
          <w:tab w:leader="none" w:pos="1605"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Such deposit will not result in a breach or violation of, or constitute a default under, this Indenture or any other agreement or instrument to which the Company is a party or by which it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93" w:name="page94"/>
    <w:bookmarkEnd w:id="93"/>
    <w:p>
      <w:pPr>
        <w:ind w:left="660" w:firstLine="644"/>
        <w:spacing w:after="0" w:line="263" w:lineRule="auto"/>
        <w:tabs>
          <w:tab w:leader="none" w:pos="1633"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No Default or Event of Default with respect to the Securities of such Series shall have occurred and be continuing on the date of such deposit;</w:t>
      </w:r>
    </w:p>
    <w:p>
      <w:pPr>
        <w:spacing w:after="0" w:line="120" w:lineRule="exact"/>
        <w:rPr>
          <w:rFonts w:ascii="Arial" w:cs="Arial" w:eastAsia="Arial" w:hAnsi="Arial"/>
          <w:sz w:val="22"/>
          <w:szCs w:val="22"/>
          <w:color w:val="010000"/>
        </w:rPr>
      </w:pPr>
    </w:p>
    <w:p>
      <w:pPr>
        <w:jc w:val="both"/>
        <w:ind w:left="660" w:firstLine="644"/>
        <w:spacing w:after="0" w:line="307" w:lineRule="auto"/>
        <w:tabs>
          <w:tab w:leader="none" w:pos="1632"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83" w:lineRule="exact"/>
        <w:rPr>
          <w:rFonts w:ascii="Arial" w:cs="Arial" w:eastAsia="Arial" w:hAnsi="Arial"/>
          <w:sz w:val="19"/>
          <w:szCs w:val="19"/>
          <w:color w:val="010000"/>
        </w:rPr>
      </w:pPr>
    </w:p>
    <w:p>
      <w:pPr>
        <w:ind w:left="660" w:firstLine="644"/>
        <w:spacing w:after="0" w:line="343" w:lineRule="auto"/>
        <w:tabs>
          <w:tab w:leader="none" w:pos="1593"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3" w:lineRule="exact"/>
        <w:rPr>
          <w:rFonts w:ascii="Arial" w:cs="Arial" w:eastAsia="Arial" w:hAnsi="Arial"/>
          <w:sz w:val="19"/>
          <w:szCs w:val="19"/>
          <w:color w:val="010000"/>
        </w:rPr>
      </w:pPr>
    </w:p>
    <w:p>
      <w:pPr>
        <w:jc w:val="both"/>
        <w:ind w:left="660" w:firstLine="644"/>
        <w:spacing w:after="0" w:line="253" w:lineRule="auto"/>
        <w:tabs>
          <w:tab w:leader="none" w:pos="1596"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8.5 </w:t>
      </w:r>
      <w:r>
        <w:rPr>
          <w:rFonts w:ascii="Arial" w:cs="Arial" w:eastAsia="Arial" w:hAnsi="Arial"/>
          <w:sz w:val="22"/>
          <w:szCs w:val="22"/>
          <w:u w:val="single" w:color="auto"/>
          <w:color w:val="000000"/>
        </w:rPr>
        <w:t>Repayment to Company</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8.6 </w:t>
      </w:r>
      <w:r>
        <w:rPr>
          <w:rFonts w:ascii="Arial" w:cs="Arial" w:eastAsia="Arial" w:hAnsi="Arial"/>
          <w:sz w:val="22"/>
          <w:szCs w:val="22"/>
          <w:u w:val="single" w:color="auto"/>
          <w:color w:val="000000"/>
        </w:rPr>
        <w:t>Reinstatement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010000"/>
        </w:rPr>
        <w:t>ARTICLE IX</w:t>
      </w:r>
    </w:p>
    <w:p>
      <w:pPr>
        <w:spacing w:after="0" w:line="58" w:lineRule="exact"/>
        <w:rPr>
          <w:sz w:val="20"/>
          <w:szCs w:val="20"/>
          <w:color w:val="auto"/>
        </w:rPr>
      </w:pPr>
    </w:p>
    <w:p>
      <w:pPr>
        <w:ind w:left="1300" w:right="4080" w:firstLine="2790"/>
        <w:spacing w:after="0" w:line="403" w:lineRule="auto"/>
        <w:rPr>
          <w:sz w:val="20"/>
          <w:szCs w:val="20"/>
          <w:color w:val="auto"/>
        </w:rPr>
      </w:pPr>
      <w:r>
        <w:rPr>
          <w:rFonts w:ascii="Arial" w:cs="Arial" w:eastAsia="Arial" w:hAnsi="Arial"/>
          <w:sz w:val="22"/>
          <w:szCs w:val="22"/>
          <w:color w:val="auto"/>
        </w:rPr>
        <w:t xml:space="preserve">AMENDMENTS AND WAIVERS </w:t>
      </w:r>
      <w:r>
        <w:rPr>
          <w:rFonts w:ascii="Arial" w:cs="Arial" w:eastAsia="Arial" w:hAnsi="Arial"/>
          <w:sz w:val="22"/>
          <w:szCs w:val="22"/>
          <w:color w:val="010000"/>
        </w:rPr>
        <w:t xml:space="preserve">Section 9.1 </w:t>
      </w:r>
      <w:r>
        <w:rPr>
          <w:rFonts w:ascii="Arial" w:cs="Arial" w:eastAsia="Arial" w:hAnsi="Arial"/>
          <w:sz w:val="22"/>
          <w:szCs w:val="22"/>
          <w:u w:val="single" w:color="auto"/>
          <w:color w:val="000000"/>
        </w:rPr>
        <w:t>Without Consent of Holders</w:t>
      </w:r>
      <w:r>
        <w:rPr>
          <w:rFonts w:ascii="Arial" w:cs="Arial" w:eastAsia="Arial" w:hAnsi="Arial"/>
          <w:sz w:val="22"/>
          <w:szCs w:val="22"/>
          <w:color w:val="000000"/>
        </w:rPr>
        <w:t>.</w:t>
      </w:r>
    </w:p>
    <w:p>
      <w:pPr>
        <w:spacing w:after="0" w:line="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Company and the Trustee may amend or supplement this Indenture or the Securities of one or more Series without the consent of any Securityholder:</w:t>
      </w:r>
    </w:p>
    <w:p>
      <w:pPr>
        <w:spacing w:after="0" w:line="121" w:lineRule="exact"/>
        <w:rPr>
          <w:sz w:val="20"/>
          <w:szCs w:val="20"/>
          <w:color w:val="auto"/>
        </w:rPr>
      </w:pPr>
    </w:p>
    <w:p>
      <w:pPr>
        <w:ind w:left="1580" w:hanging="276"/>
        <w:spacing w:after="0"/>
        <w:tabs>
          <w:tab w:leader="none" w:pos="158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add guarantees with respect to any Series of Securities or secure any Series of Securities;</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surrender any of the Company’s rights or powers under this Indenture;</w:t>
      </w:r>
    </w:p>
    <w:p>
      <w:pPr>
        <w:spacing w:after="0" w:line="165" w:lineRule="exact"/>
        <w:rPr>
          <w:rFonts w:ascii="Arial" w:cs="Arial" w:eastAsia="Arial" w:hAnsi="Arial"/>
          <w:sz w:val="22"/>
          <w:szCs w:val="22"/>
          <w:color w:val="010000"/>
        </w:rPr>
      </w:pPr>
    </w:p>
    <w:p>
      <w:pPr>
        <w:ind w:left="1580" w:hanging="276"/>
        <w:spacing w:after="0"/>
        <w:tabs>
          <w:tab w:leader="none" w:pos="1580" w:val="left"/>
        </w:tabs>
        <w:numPr>
          <w:ilvl w:val="0"/>
          <w:numId w:val="71"/>
        </w:numPr>
        <w:rPr>
          <w:rFonts w:ascii="Arial" w:cs="Arial" w:eastAsia="Arial" w:hAnsi="Arial"/>
          <w:sz w:val="21"/>
          <w:szCs w:val="21"/>
          <w:color w:val="010000"/>
        </w:rPr>
      </w:pPr>
      <w:r>
        <w:rPr>
          <w:rFonts w:ascii="Arial" w:cs="Arial" w:eastAsia="Arial" w:hAnsi="Arial"/>
          <w:sz w:val="21"/>
          <w:szCs w:val="21"/>
          <w:color w:val="auto"/>
        </w:rPr>
        <w:t>to add covenants or Events of Default for the benefit of the Securityholders of any Series of Securities;</w:t>
      </w:r>
    </w:p>
    <w:p>
      <w:pPr>
        <w:spacing w:after="0" w:line="190" w:lineRule="exact"/>
        <w:rPr>
          <w:rFonts w:ascii="Arial" w:cs="Arial" w:eastAsia="Arial" w:hAnsi="Arial"/>
          <w:sz w:val="21"/>
          <w:szCs w:val="21"/>
          <w:color w:val="010000"/>
        </w:rPr>
      </w:pPr>
    </w:p>
    <w:p>
      <w:pPr>
        <w:ind w:left="1600" w:hanging="296"/>
        <w:spacing w:after="0"/>
        <w:tabs>
          <w:tab w:leader="none" w:pos="160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comply with the applicable procedures of the Depositary;</w:t>
      </w:r>
    </w:p>
    <w:p>
      <w:pPr>
        <w:spacing w:after="0" w:line="165" w:lineRule="exact"/>
        <w:rPr>
          <w:rFonts w:ascii="Arial" w:cs="Arial" w:eastAsia="Arial" w:hAnsi="Arial"/>
          <w:sz w:val="22"/>
          <w:szCs w:val="22"/>
          <w:color w:val="010000"/>
        </w:rPr>
      </w:pPr>
    </w:p>
    <w:p>
      <w:pPr>
        <w:ind w:left="1580" w:hanging="276"/>
        <w:spacing w:after="0"/>
        <w:tabs>
          <w:tab w:leader="none" w:pos="158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cure any ambiguity, defect or inconsistency;</w:t>
      </w:r>
    </w:p>
    <w:p>
      <w:pPr>
        <w:spacing w:after="0" w:line="165" w:lineRule="exact"/>
        <w:rPr>
          <w:rFonts w:ascii="Arial" w:cs="Arial" w:eastAsia="Arial" w:hAnsi="Arial"/>
          <w:sz w:val="22"/>
          <w:szCs w:val="22"/>
          <w:color w:val="010000"/>
        </w:rPr>
      </w:pPr>
    </w:p>
    <w:p>
      <w:pPr>
        <w:ind w:left="1560" w:hanging="256"/>
        <w:spacing w:after="0"/>
        <w:tabs>
          <w:tab w:leader="none" w:pos="156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comply with Article V;</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provide for uncertificated Securities in addition to or in place of certificated Securities;</w:t>
      </w:r>
    </w:p>
    <w:p>
      <w:pPr>
        <w:spacing w:after="0" w:line="165" w:lineRule="exact"/>
        <w:rPr>
          <w:rFonts w:ascii="Arial" w:cs="Arial" w:eastAsia="Arial" w:hAnsi="Arial"/>
          <w:sz w:val="22"/>
          <w:szCs w:val="22"/>
          <w:color w:val="010000"/>
        </w:rPr>
      </w:pPr>
    </w:p>
    <w:p>
      <w:pPr>
        <w:ind w:left="1600" w:hanging="296"/>
        <w:spacing w:after="0"/>
        <w:tabs>
          <w:tab w:leader="none" w:pos="160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make any change that does not materially adversely affect the rights of any Securityholder;</w:t>
      </w:r>
    </w:p>
    <w:p>
      <w:pPr>
        <w:spacing w:after="0" w:line="165" w:lineRule="exact"/>
        <w:rPr>
          <w:rFonts w:ascii="Arial" w:cs="Arial" w:eastAsia="Arial" w:hAnsi="Arial"/>
          <w:sz w:val="22"/>
          <w:szCs w:val="22"/>
          <w:color w:val="010000"/>
        </w:rPr>
      </w:pPr>
    </w:p>
    <w:p>
      <w:pPr>
        <w:jc w:val="both"/>
        <w:ind w:left="660" w:firstLine="644"/>
        <w:spacing w:after="0" w:line="259" w:lineRule="auto"/>
        <w:tabs>
          <w:tab w:leader="none" w:pos="1597"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conform any supplement to this Indenture for a Series of Securities or the Securities a Series to the description of securities for such Series in the prospectus supplement or other offering document with respect to such Series;</w:t>
      </w:r>
    </w:p>
    <w:p>
      <w:pPr>
        <w:spacing w:after="0" w:line="126" w:lineRule="exact"/>
        <w:rPr>
          <w:rFonts w:ascii="Arial" w:cs="Arial" w:eastAsia="Arial" w:hAnsi="Arial"/>
          <w:sz w:val="22"/>
          <w:szCs w:val="22"/>
          <w:color w:val="010000"/>
        </w:rPr>
      </w:pPr>
    </w:p>
    <w:p>
      <w:pPr>
        <w:ind w:left="660" w:firstLine="644"/>
        <w:spacing w:after="0" w:line="263" w:lineRule="auto"/>
        <w:tabs>
          <w:tab w:leader="none" w:pos="157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to provide for the issuance of and establish the form and terms and conditions of Securities of any Series as permitted by this Indenture;</w:t>
      </w:r>
    </w:p>
    <w:p>
      <w:pPr>
        <w:spacing w:after="0" w:line="120" w:lineRule="exact"/>
        <w:rPr>
          <w:rFonts w:ascii="Arial" w:cs="Arial" w:eastAsia="Arial" w:hAnsi="Arial"/>
          <w:sz w:val="22"/>
          <w:szCs w:val="22"/>
          <w:color w:val="010000"/>
        </w:rPr>
      </w:pPr>
    </w:p>
    <w:p>
      <w:pPr>
        <w:jc w:val="both"/>
        <w:ind w:left="660" w:firstLine="644"/>
        <w:spacing w:after="0" w:line="319" w:lineRule="auto"/>
        <w:tabs>
          <w:tab w:leader="none" w:pos="1605"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9"/>
          <w:szCs w:val="19"/>
          <w:color w:val="010000"/>
        </w:rPr>
      </w:pPr>
    </w:p>
    <w:p>
      <w:pPr>
        <w:ind w:left="1560" w:hanging="256"/>
        <w:spacing w:after="0"/>
        <w:tabs>
          <w:tab w:leader="none" w:pos="1560"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to comply with requirements of the SEC in order to effect or maintain the qualification of this Indenture under</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the TIA.</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9.2 </w:t>
      </w:r>
      <w:r>
        <w:rPr>
          <w:rFonts w:ascii="Arial" w:cs="Arial" w:eastAsia="Arial" w:hAnsi="Arial"/>
          <w:sz w:val="22"/>
          <w:szCs w:val="22"/>
          <w:u w:val="single" w:color="auto"/>
          <w:color w:val="000000"/>
        </w:rPr>
        <w:t>With Consent of Holders</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95" w:name="page96"/>
    <w:bookmarkEnd w:id="95"/>
    <w:p>
      <w:pPr>
        <w:jc w:val="both"/>
        <w:spacing w:after="0" w:line="254" w:lineRule="auto"/>
        <w:rPr>
          <w:sz w:val="20"/>
          <w:szCs w:val="20"/>
          <w:color w:val="auto"/>
        </w:rPr>
      </w:pPr>
      <w:r>
        <w:rPr>
          <w:rFonts w:ascii="Arial" w:cs="Arial" w:eastAsia="Arial" w:hAnsi="Arial"/>
          <w:sz w:val="22"/>
          <w:szCs w:val="22"/>
          <w:color w:val="auto"/>
        </w:rPr>
        <w:t>rights of the Securityholders of each such Series. Except as provided in Section 6.13, the Holders of at least a majority in principal amount of the outstanding Securities of any Series by written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3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9.3 </w:t>
      </w:r>
      <w:r>
        <w:rPr>
          <w:rFonts w:ascii="Arial" w:cs="Arial" w:eastAsia="Arial" w:hAnsi="Arial"/>
          <w:sz w:val="22"/>
          <w:szCs w:val="22"/>
          <w:u w:val="single" w:color="auto"/>
          <w:color w:val="000000"/>
        </w:rPr>
        <w:t>Limitations</w:t>
      </w:r>
      <w:r>
        <w:rPr>
          <w:rFonts w:ascii="Arial" w:cs="Arial" w:eastAsia="Arial" w:hAnsi="Arial"/>
          <w:sz w:val="22"/>
          <w:szCs w:val="22"/>
          <w:color w:val="000000"/>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Without the consent of each Securityholder affected, an amendment or waiver may not: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color w:val="000000"/>
        </w:rPr>
        <w:t>reduce the principal amount of Securities whose Holders must consent to an amendment, supplement or</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waiver;</w:t>
      </w:r>
    </w:p>
    <w:p>
      <w:pPr>
        <w:spacing w:after="0" w:line="161" w:lineRule="exact"/>
        <w:rPr>
          <w:sz w:val="20"/>
          <w:szCs w:val="20"/>
          <w:color w:val="auto"/>
        </w:rPr>
      </w:pPr>
    </w:p>
    <w:p>
      <w:pPr>
        <w:ind w:left="1600" w:hanging="296"/>
        <w:spacing w:after="0"/>
        <w:tabs>
          <w:tab w:leader="none" w:pos="1600"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reduce the rate of or extend the time for payment of interest (including default interest) on any Security;</w:t>
      </w:r>
    </w:p>
    <w:p>
      <w:pPr>
        <w:spacing w:after="0" w:line="177" w:lineRule="exact"/>
        <w:rPr>
          <w:rFonts w:ascii="Arial" w:cs="Arial" w:eastAsia="Arial" w:hAnsi="Arial"/>
          <w:sz w:val="21"/>
          <w:szCs w:val="21"/>
          <w:color w:val="010000"/>
        </w:rPr>
      </w:pPr>
    </w:p>
    <w:p>
      <w:pPr>
        <w:ind w:left="660" w:firstLine="644"/>
        <w:spacing w:after="0" w:line="263" w:lineRule="auto"/>
        <w:tabs>
          <w:tab w:leader="none" w:pos="1606"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reduce the principal or change the Stated Maturity of any Security or reduce the amount of, or postpone the date fixed for, the payment of any sinking fund or analogous obligation;</w:t>
      </w:r>
    </w:p>
    <w:p>
      <w:pPr>
        <w:spacing w:after="0" w:line="120" w:lineRule="exact"/>
        <w:rPr>
          <w:rFonts w:ascii="Arial" w:cs="Arial" w:eastAsia="Arial" w:hAnsi="Arial"/>
          <w:sz w:val="22"/>
          <w:szCs w:val="22"/>
          <w:color w:val="010000"/>
        </w:rPr>
      </w:pPr>
    </w:p>
    <w:p>
      <w:pPr>
        <w:ind w:left="1600" w:hanging="296"/>
        <w:spacing w:after="0"/>
        <w:tabs>
          <w:tab w:leader="none" w:pos="1600"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reduce the principal amount of Discount Securities payable upon acceleration of the maturity thereof;</w:t>
      </w:r>
    </w:p>
    <w:p>
      <w:pPr>
        <w:spacing w:after="0" w:line="177" w:lineRule="exact"/>
        <w:rPr>
          <w:rFonts w:ascii="Arial" w:cs="Arial" w:eastAsia="Arial" w:hAnsi="Arial"/>
          <w:sz w:val="21"/>
          <w:szCs w:val="21"/>
          <w:color w:val="010000"/>
        </w:rPr>
      </w:pPr>
    </w:p>
    <w:p>
      <w:pPr>
        <w:jc w:val="both"/>
        <w:ind w:left="660" w:firstLine="644"/>
        <w:spacing w:after="0" w:line="319" w:lineRule="auto"/>
        <w:tabs>
          <w:tab w:leader="none" w:pos="1620"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73" w:lineRule="exact"/>
        <w:rPr>
          <w:rFonts w:ascii="Arial" w:cs="Arial" w:eastAsia="Arial" w:hAnsi="Arial"/>
          <w:sz w:val="19"/>
          <w:szCs w:val="19"/>
          <w:color w:val="010000"/>
        </w:rPr>
      </w:pPr>
    </w:p>
    <w:p>
      <w:pPr>
        <w:ind w:left="1580" w:hanging="276"/>
        <w:spacing w:after="0"/>
        <w:tabs>
          <w:tab w:leader="none" w:pos="1580"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make the principal of or interest, if any, on any Security payable in any currency other than that stated in the</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Security;</w:t>
      </w:r>
    </w:p>
    <w:p>
      <w:pPr>
        <w:spacing w:after="0" w:line="147" w:lineRule="exact"/>
        <w:rPr>
          <w:rFonts w:ascii="Arial" w:cs="Arial" w:eastAsia="Arial" w:hAnsi="Arial"/>
          <w:sz w:val="19"/>
          <w:szCs w:val="19"/>
          <w:color w:val="010000"/>
        </w:rPr>
      </w:pPr>
    </w:p>
    <w:p>
      <w:pPr>
        <w:ind w:left="1600" w:hanging="296"/>
        <w:spacing w:after="0"/>
        <w:tabs>
          <w:tab w:leader="none" w:pos="1600"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make any change in Sections 6.8, 6.13 or 9.3 (this sentence); or</w:t>
      </w:r>
    </w:p>
    <w:p>
      <w:pPr>
        <w:spacing w:after="0" w:line="179" w:lineRule="exact"/>
        <w:rPr>
          <w:rFonts w:ascii="Arial" w:cs="Arial" w:eastAsia="Arial" w:hAnsi="Arial"/>
          <w:sz w:val="22"/>
          <w:szCs w:val="22"/>
          <w:color w:val="010000"/>
        </w:rPr>
      </w:pPr>
    </w:p>
    <w:p>
      <w:pPr>
        <w:ind w:left="660" w:firstLine="644"/>
        <w:spacing w:after="0" w:line="263" w:lineRule="auto"/>
        <w:tabs>
          <w:tab w:leader="none" w:pos="1645"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waive a redemption payment with respect to any Security, provided that such redemption is made at the Company’s option.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9.4 </w:t>
      </w:r>
      <w:r>
        <w:rPr>
          <w:rFonts w:ascii="Arial" w:cs="Arial" w:eastAsia="Arial" w:hAnsi="Arial"/>
          <w:sz w:val="22"/>
          <w:szCs w:val="22"/>
          <w:u w:val="single" w:color="auto"/>
          <w:color w:val="000000"/>
        </w:rPr>
        <w:t>Compliance with Trust Indenture Act</w:t>
      </w:r>
      <w:r>
        <w:rPr>
          <w:rFonts w:ascii="Arial" w:cs="Arial" w:eastAsia="Arial" w:hAnsi="Arial"/>
          <w:sz w:val="22"/>
          <w:szCs w:val="22"/>
          <w:color w:val="000000"/>
        </w:rPr>
        <w:t>.</w:t>
      </w:r>
    </w:p>
    <w:p>
      <w:pPr>
        <w:spacing w:after="0" w:line="1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Every amendment to this Indenture or the Securities of one or more Series shall be set forth in a supplemental indenture hereto that complies with the TIA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22"/>
          <w:szCs w:val="22"/>
          <w:color w:val="010000"/>
        </w:rPr>
        <w:t xml:space="preserve">Section 9.5 </w:t>
      </w:r>
      <w:r>
        <w:rPr>
          <w:rFonts w:ascii="Arial" w:cs="Arial" w:eastAsia="Arial" w:hAnsi="Arial"/>
          <w:sz w:val="22"/>
          <w:szCs w:val="22"/>
          <w:u w:val="single" w:color="auto"/>
          <w:color w:val="000000"/>
        </w:rPr>
        <w:t>Revocation and Effect of Consents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3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9.6 </w:t>
      </w:r>
      <w:r>
        <w:rPr>
          <w:rFonts w:ascii="Arial" w:cs="Arial" w:eastAsia="Arial" w:hAnsi="Arial"/>
          <w:sz w:val="22"/>
          <w:szCs w:val="22"/>
          <w:u w:val="single" w:color="auto"/>
          <w:color w:val="000000"/>
        </w:rPr>
        <w:t>Notation on or Exchange of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21"/>
          <w:szCs w:val="21"/>
          <w:color w:val="auto"/>
        </w:rPr>
        <w:t>The Company or 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9.7 </w:t>
      </w:r>
      <w:r>
        <w:rPr>
          <w:rFonts w:ascii="Arial" w:cs="Arial" w:eastAsia="Arial" w:hAnsi="Arial"/>
          <w:sz w:val="22"/>
          <w:szCs w:val="22"/>
          <w:u w:val="single" w:color="auto"/>
          <w:color w:val="000000"/>
        </w:rPr>
        <w:t>Trustee Protected</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In executing, or accepting the additional trusts created by, any supplemental indenture permitted by this Article or the modifications thereby of the trusts created by this Indenture, the Trustee shall receive, and (subject to Section 7.1) shall be fully protected in conclusively relying upon, an Officer’s Certificate or an Opinion of Counsel or both complying with Section 10.4 and stating that the supplemental indenture is the legal, valid and binding obligation of the Company, enforceable against the Company in accordance with its terms, subject to customary exceptions. The Trustee shall sign all supplemental indentures upon delivery of such an Officer’s Certificate or Opinion of Counsel or both, except that the Trustee need not sign any supplemental indenture that adversely affects its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color w:val="010000"/>
        </w:rPr>
        <w:t>ARTICLE X</w:t>
      </w:r>
    </w:p>
    <w:p>
      <w:pPr>
        <w:spacing w:after="0" w:line="5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 </w:t>
      </w:r>
      <w:r>
        <w:rPr>
          <w:rFonts w:ascii="Arial" w:cs="Arial" w:eastAsia="Arial" w:hAnsi="Arial"/>
          <w:sz w:val="22"/>
          <w:szCs w:val="22"/>
          <w:u w:val="single" w:color="auto"/>
          <w:color w:val="000000"/>
        </w:rPr>
        <w:t>Trust Indenture Act Controls</w:t>
      </w:r>
      <w:r>
        <w:rPr>
          <w:rFonts w:ascii="Arial" w:cs="Arial" w:eastAsia="Arial" w:hAnsi="Arial"/>
          <w:sz w:val="22"/>
          <w:szCs w:val="22"/>
          <w:color w:val="000000"/>
        </w:rPr>
        <w:t>.</w:t>
      </w:r>
    </w:p>
    <w:p>
      <w:pPr>
        <w:spacing w:after="0" w:line="17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If any provision of this Indenture limits, qualifies, or conflicts with another provision which is required or deemed to be included in this Indenture by the TIA, such required or deemed provision shall control.</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10.2 </w:t>
      </w:r>
      <w:r>
        <w:rPr>
          <w:rFonts w:ascii="Arial" w:cs="Arial" w:eastAsia="Arial" w:hAnsi="Arial"/>
          <w:sz w:val="22"/>
          <w:szCs w:val="22"/>
          <w:u w:val="single" w:color="auto"/>
          <w:color w:val="000000"/>
        </w:rPr>
        <w:t>Notices</w:t>
      </w:r>
      <w:r>
        <w:rPr>
          <w:rFonts w:ascii="Arial" w:cs="Arial" w:eastAsia="Arial" w:hAnsi="Arial"/>
          <w:sz w:val="22"/>
          <w:szCs w:val="22"/>
          <w:color w:val="000000"/>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Any notice or communication by the Company or the Trustee to the other, or by a Holder to the Company 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Trustee, is duly given if in writing and delivered in person or mailed by first-class mail:</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Biohaven Ltd.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Biohaven Pharmaceuticals,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215 Church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Haven, Connecticut 06510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Vlad Coric, M.D.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(203) 404-0410</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Sullivan &amp; Cromwell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10004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Robert W. Downes</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(212) 558-4000</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Trustee:</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w:t>
      </w:r>
    </w:p>
    <w:p>
      <w:pPr>
        <w:spacing w:after="0" w:line="16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w:t>
      </w:r>
    </w:p>
    <w:p>
      <w:pPr>
        <w:spacing w:after="0" w:line="10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11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a notice or communication is mailed or published in the manner provided above, within the time prescribed, it is duly given, whether or not the Securityholder receives it.</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the Company mails a notice or communication to Securityholders, it shall mail a copy to the Trustee and each Agent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98" w:name="page99"/>
    <w:bookmarkEnd w:id="98"/>
    <w:p>
      <w:pPr>
        <w:jc w:val="both"/>
        <w:ind w:firstLine="1296"/>
        <w:spacing w:after="0" w:line="254" w:lineRule="auto"/>
        <w:rPr>
          <w:sz w:val="20"/>
          <w:szCs w:val="20"/>
          <w:color w:val="auto"/>
        </w:rPr>
      </w:pPr>
      <w:r>
        <w:rPr>
          <w:rFonts w:ascii="Arial" w:cs="Arial" w:eastAsia="Arial" w:hAnsi="Arial"/>
          <w:sz w:val="22"/>
          <w:szCs w:val="22"/>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10.3 </w:t>
      </w:r>
      <w:r>
        <w:rPr>
          <w:rFonts w:ascii="Arial" w:cs="Arial" w:eastAsia="Arial" w:hAnsi="Arial"/>
          <w:sz w:val="22"/>
          <w:szCs w:val="22"/>
          <w:u w:val="single" w:color="auto"/>
          <w:color w:val="000000"/>
        </w:rPr>
        <w:t>Communication by Holders with Other Holders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10.4 </w:t>
      </w:r>
      <w:r>
        <w:rPr>
          <w:rFonts w:ascii="Arial" w:cs="Arial" w:eastAsia="Arial" w:hAnsi="Arial"/>
          <w:sz w:val="22"/>
          <w:szCs w:val="22"/>
          <w:u w:val="single" w:color="auto"/>
          <w:color w:val="000000"/>
        </w:rPr>
        <w:t>Certificate and Opinion as to Conditions Precedent</w:t>
      </w:r>
      <w:r>
        <w:rPr>
          <w:rFonts w:ascii="Arial" w:cs="Arial" w:eastAsia="Arial" w:hAnsi="Arial"/>
          <w:sz w:val="22"/>
          <w:szCs w:val="22"/>
          <w:color w:val="000000"/>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Upon any request or application by the Company to the Trustee to take any action under this Indenture,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shall furnish to the Trustee:</w:t>
      </w:r>
    </w:p>
    <w:p>
      <w:pPr>
        <w:spacing w:after="0" w:line="148" w:lineRule="exact"/>
        <w:rPr>
          <w:sz w:val="20"/>
          <w:szCs w:val="20"/>
          <w:color w:val="auto"/>
        </w:rPr>
      </w:pPr>
    </w:p>
    <w:p>
      <w:pPr>
        <w:ind w:left="660" w:firstLine="644"/>
        <w:spacing w:after="0" w:line="263" w:lineRule="auto"/>
        <w:tabs>
          <w:tab w:leader="none" w:pos="1593"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an Officer’s Certificate stating that, in the opinion of the signers, all conditions precedent, if any, provided for in this Indenture relating to the proposed action have been complied with; and</w:t>
      </w:r>
    </w:p>
    <w:p>
      <w:pPr>
        <w:spacing w:after="0" w:line="120" w:lineRule="exact"/>
        <w:rPr>
          <w:rFonts w:ascii="Arial" w:cs="Arial" w:eastAsia="Arial" w:hAnsi="Arial"/>
          <w:sz w:val="22"/>
          <w:szCs w:val="22"/>
          <w:color w:val="010000"/>
        </w:rPr>
      </w:pPr>
    </w:p>
    <w:p>
      <w:pPr>
        <w:ind w:left="660" w:firstLine="644"/>
        <w:spacing w:after="0" w:line="276" w:lineRule="auto"/>
        <w:tabs>
          <w:tab w:leader="none" w:pos="1618"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an Opinion of Counsel stating that, in the opinion of such counsel, all such conditions precedent have been complied with.</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10.5 </w:t>
      </w:r>
      <w:r>
        <w:rPr>
          <w:rFonts w:ascii="Arial" w:cs="Arial" w:eastAsia="Arial" w:hAnsi="Arial"/>
          <w:sz w:val="22"/>
          <w:szCs w:val="22"/>
          <w:u w:val="single" w:color="auto"/>
          <w:color w:val="000000"/>
        </w:rPr>
        <w:t>Statements Required in Certificate or Opinion</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45" w:lineRule="exact"/>
        <w:rPr>
          <w:sz w:val="20"/>
          <w:szCs w:val="20"/>
          <w:color w:val="auto"/>
        </w:rPr>
      </w:pPr>
    </w:p>
    <w:p>
      <w:pPr>
        <w:ind w:left="1580" w:hanging="276"/>
        <w:spacing w:after="0"/>
        <w:tabs>
          <w:tab w:leader="none" w:pos="1580" w:val="left"/>
        </w:tabs>
        <w:numPr>
          <w:ilvl w:val="0"/>
          <w:numId w:val="74"/>
        </w:numPr>
        <w:rPr>
          <w:rFonts w:ascii="Arial" w:cs="Arial" w:eastAsia="Arial" w:hAnsi="Arial"/>
          <w:sz w:val="21"/>
          <w:szCs w:val="21"/>
          <w:color w:val="010000"/>
        </w:rPr>
      </w:pPr>
      <w:r>
        <w:rPr>
          <w:rFonts w:ascii="Arial" w:cs="Arial" w:eastAsia="Arial" w:hAnsi="Arial"/>
          <w:sz w:val="21"/>
          <w:szCs w:val="21"/>
          <w:color w:val="auto"/>
        </w:rPr>
        <w:t>a statement that the person making such certificate or opinion has read such covenant or condition;</w:t>
      </w:r>
    </w:p>
    <w:p>
      <w:pPr>
        <w:spacing w:after="0" w:line="177" w:lineRule="exact"/>
        <w:rPr>
          <w:rFonts w:ascii="Arial" w:cs="Arial" w:eastAsia="Arial" w:hAnsi="Arial"/>
          <w:sz w:val="21"/>
          <w:szCs w:val="21"/>
          <w:color w:val="010000"/>
        </w:rPr>
      </w:pPr>
    </w:p>
    <w:p>
      <w:pPr>
        <w:ind w:left="660" w:firstLine="644"/>
        <w:spacing w:after="0" w:line="263" w:lineRule="auto"/>
        <w:tabs>
          <w:tab w:leader="none" w:pos="1618"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20" w:lineRule="exact"/>
        <w:rPr>
          <w:rFonts w:ascii="Arial" w:cs="Arial" w:eastAsia="Arial" w:hAnsi="Arial"/>
          <w:sz w:val="22"/>
          <w:szCs w:val="22"/>
          <w:color w:val="010000"/>
        </w:rPr>
      </w:pPr>
    </w:p>
    <w:p>
      <w:pPr>
        <w:jc w:val="both"/>
        <w:ind w:left="660" w:firstLine="644"/>
        <w:spacing w:after="0" w:line="259" w:lineRule="auto"/>
        <w:tabs>
          <w:tab w:leader="none" w:pos="1593"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26" w:lineRule="exact"/>
        <w:rPr>
          <w:rFonts w:ascii="Arial" w:cs="Arial" w:eastAsia="Arial" w:hAnsi="Arial"/>
          <w:sz w:val="22"/>
          <w:szCs w:val="22"/>
          <w:color w:val="010000"/>
        </w:rPr>
      </w:pPr>
    </w:p>
    <w:p>
      <w:pPr>
        <w:ind w:left="1600" w:hanging="296"/>
        <w:spacing w:after="0"/>
        <w:tabs>
          <w:tab w:leader="none" w:pos="1600"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a statement as to whether or not, in the opinion of such person, such condition or covenant has been complied</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with.</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10.6 </w:t>
      </w:r>
      <w:r>
        <w:rPr>
          <w:rFonts w:ascii="Arial" w:cs="Arial" w:eastAsia="Arial" w:hAnsi="Arial"/>
          <w:sz w:val="22"/>
          <w:szCs w:val="22"/>
          <w:u w:val="single" w:color="auto"/>
          <w:color w:val="000000"/>
        </w:rPr>
        <w:t>Rules by Trustee and Agents</w:t>
      </w:r>
      <w:r>
        <w:rPr>
          <w:rFonts w:ascii="Arial" w:cs="Arial" w:eastAsia="Arial" w:hAnsi="Arial"/>
          <w:sz w:val="22"/>
          <w:szCs w:val="22"/>
          <w:color w:val="000000"/>
        </w:rPr>
        <w:t>.</w:t>
      </w:r>
    </w:p>
    <w:p>
      <w:pPr>
        <w:spacing w:after="0" w:line="1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Trustee may make reasonable rules for action by or a meeting of Securityholders of one or more Series. Any Agent may make reasonable rules and set reasonable requirements for its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99" w:name="page100"/>
    <w:bookmarkEnd w:id="99"/>
    <w:p>
      <w:pPr>
        <w:ind w:left="1300"/>
        <w:spacing w:after="0"/>
        <w:rPr>
          <w:sz w:val="20"/>
          <w:szCs w:val="20"/>
          <w:color w:val="auto"/>
        </w:rPr>
      </w:pPr>
      <w:r>
        <w:rPr>
          <w:rFonts w:ascii="Arial" w:cs="Arial" w:eastAsia="Arial" w:hAnsi="Arial"/>
          <w:sz w:val="22"/>
          <w:szCs w:val="22"/>
          <w:color w:val="010000"/>
        </w:rPr>
        <w:t xml:space="preserve">Section 10.7 </w:t>
      </w:r>
      <w:r>
        <w:rPr>
          <w:rFonts w:ascii="Arial" w:cs="Arial" w:eastAsia="Arial" w:hAnsi="Arial"/>
          <w:sz w:val="22"/>
          <w:szCs w:val="22"/>
          <w:u w:val="single" w:color="auto"/>
          <w:color w:val="000000"/>
        </w:rPr>
        <w:t>Legal Holidays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Unless otherwise provided by Board Resolution, Officer’s Certificate or supplemental indenture hereto for a particular Series, a “</w:t>
      </w:r>
      <w:r>
        <w:rPr>
          <w:rFonts w:ascii="Arial" w:cs="Arial" w:eastAsia="Arial" w:hAnsi="Arial"/>
          <w:sz w:val="22"/>
          <w:szCs w:val="22"/>
          <w:i w:val="1"/>
          <w:iCs w:val="1"/>
          <w:color w:val="auto"/>
        </w:rPr>
        <w:t>Legal Holiday</w:t>
      </w:r>
      <w:r>
        <w:rPr>
          <w:rFonts w:ascii="Arial" w:cs="Arial" w:eastAsia="Arial" w:hAnsi="Arial"/>
          <w:sz w:val="22"/>
          <w:szCs w:val="22"/>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10.8 </w:t>
      </w:r>
      <w:r>
        <w:rPr>
          <w:rFonts w:ascii="Arial" w:cs="Arial" w:eastAsia="Arial" w:hAnsi="Arial"/>
          <w:sz w:val="22"/>
          <w:szCs w:val="22"/>
          <w:u w:val="single" w:color="auto"/>
          <w:color w:val="000000"/>
        </w:rPr>
        <w:t>No Recourse Against Others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2"/>
          <w:szCs w:val="22"/>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10.9 </w:t>
      </w:r>
      <w:r>
        <w:rPr>
          <w:rFonts w:ascii="Arial" w:cs="Arial" w:eastAsia="Arial" w:hAnsi="Arial"/>
          <w:sz w:val="22"/>
          <w:szCs w:val="22"/>
          <w:u w:val="single" w:color="auto"/>
          <w:color w:val="000000"/>
        </w:rPr>
        <w:t>Counterparts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10.10 </w:t>
      </w:r>
      <w:r>
        <w:rPr>
          <w:rFonts w:ascii="Arial" w:cs="Arial" w:eastAsia="Arial" w:hAnsi="Arial"/>
          <w:sz w:val="22"/>
          <w:szCs w:val="22"/>
          <w:u w:val="single" w:color="auto"/>
          <w:color w:val="000000"/>
        </w:rPr>
        <w:t>Governing Law; Jury Trial Waiver</w:t>
      </w:r>
      <w:r>
        <w:rPr>
          <w:rFonts w:ascii="Arial" w:cs="Arial" w:eastAsia="Arial" w:hAnsi="Arial"/>
          <w:sz w:val="22"/>
          <w:szCs w:val="22"/>
          <w:color w:val="000000"/>
        </w:rPr>
        <w:t>.</w:t>
      </w:r>
    </w:p>
    <w:p>
      <w:pPr>
        <w:spacing w:after="0" w:line="16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THIS INDENTURE AND THE SECURITIES, INCLUDING ANY CLAIM OR CONTROVERSY ARISING OUT OF OR RELATING TO THE INDENTURE OR THE SECURITIES, SHALL BE GOVERNED BY THE LAWS OF THE STATE OF NEW YORK.</w:t>
      </w:r>
    </w:p>
    <w:p>
      <w:pPr>
        <w:spacing w:after="0" w:line="11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10.11 </w:t>
      </w:r>
      <w:r>
        <w:rPr>
          <w:rFonts w:ascii="Arial" w:cs="Arial" w:eastAsia="Arial" w:hAnsi="Arial"/>
          <w:sz w:val="22"/>
          <w:szCs w:val="22"/>
          <w:u w:val="single" w:color="auto"/>
          <w:color w:val="000000"/>
        </w:rPr>
        <w:t>No Adverse Interpretation of Other Agreements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This Indenture may not be used to interpret another indenture, loan or debt agreement of the Company or a Subsidiary of the Company. Any such indenture, loan or debt agreement may not be used to interpret this Indenture.</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10.12 </w:t>
      </w:r>
      <w:r>
        <w:rPr>
          <w:rFonts w:ascii="Arial" w:cs="Arial" w:eastAsia="Arial" w:hAnsi="Arial"/>
          <w:sz w:val="22"/>
          <w:szCs w:val="22"/>
          <w:u w:val="single" w:color="auto"/>
          <w:color w:val="000000"/>
        </w:rPr>
        <w:t>Successors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22"/>
          <w:szCs w:val="22"/>
          <w:color w:val="auto"/>
        </w:rPr>
        <w:t>All agreements of the Company in this Indenture and the Securities shall bind its successor. All agreements of the Trustee in this Indenture shall bind its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00" w:name="page101"/>
    <w:bookmarkEnd w:id="100"/>
    <w:p>
      <w:pPr>
        <w:ind w:left="1300"/>
        <w:spacing w:after="0"/>
        <w:rPr>
          <w:sz w:val="20"/>
          <w:szCs w:val="20"/>
          <w:color w:val="auto"/>
        </w:rPr>
      </w:pPr>
      <w:r>
        <w:rPr>
          <w:rFonts w:ascii="Arial" w:cs="Arial" w:eastAsia="Arial" w:hAnsi="Arial"/>
          <w:sz w:val="22"/>
          <w:szCs w:val="22"/>
          <w:color w:val="010000"/>
        </w:rPr>
        <w:t xml:space="preserve">Section 10.13 </w:t>
      </w:r>
      <w:r>
        <w:rPr>
          <w:rFonts w:ascii="Arial" w:cs="Arial" w:eastAsia="Arial" w:hAnsi="Arial"/>
          <w:sz w:val="22"/>
          <w:szCs w:val="22"/>
          <w:u w:val="single" w:color="auto"/>
          <w:color w:val="000000"/>
        </w:rPr>
        <w:t>Severability</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10.14 </w:t>
      </w:r>
      <w:r>
        <w:rPr>
          <w:rFonts w:ascii="Arial" w:cs="Arial" w:eastAsia="Arial" w:hAnsi="Arial"/>
          <w:sz w:val="22"/>
          <w:szCs w:val="22"/>
          <w:u w:val="single" w:color="auto"/>
          <w:color w:val="000000"/>
        </w:rPr>
        <w:t>Table of Contents, Headings, Etc</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10.15 </w:t>
      </w:r>
      <w:r>
        <w:rPr>
          <w:rFonts w:ascii="Arial" w:cs="Arial" w:eastAsia="Arial" w:hAnsi="Arial"/>
          <w:sz w:val="22"/>
          <w:szCs w:val="22"/>
          <w:u w:val="single" w:color="auto"/>
          <w:color w:val="000000"/>
        </w:rPr>
        <w:t>Securities in a Foreign Currency</w:t>
      </w:r>
      <w:r>
        <w:rPr>
          <w:rFonts w:ascii="Arial" w:cs="Arial" w:eastAsia="Arial" w:hAnsi="Arial"/>
          <w:sz w:val="22"/>
          <w:szCs w:val="22"/>
          <w:color w:val="000000"/>
        </w:rPr>
        <w:t>.</w:t>
      </w:r>
    </w:p>
    <w:p>
      <w:pPr>
        <w:spacing w:after="0" w:line="17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(of,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360"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6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10.16 </w:t>
      </w:r>
      <w:r>
        <w:rPr>
          <w:rFonts w:ascii="Arial" w:cs="Arial" w:eastAsia="Arial" w:hAnsi="Arial"/>
          <w:sz w:val="22"/>
          <w:szCs w:val="22"/>
          <w:u w:val="single" w:color="auto"/>
          <w:color w:val="000000"/>
        </w:rPr>
        <w:t>Judgment Currency</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9"/>
          <w:szCs w:val="19"/>
          <w:i w:val="1"/>
          <w:iCs w:val="1"/>
          <w:color w:val="auto"/>
        </w:rPr>
        <w:t>Required Currency</w:t>
      </w:r>
      <w:r>
        <w:rPr>
          <w:rFonts w:ascii="Arial" w:cs="Arial" w:eastAsia="Arial" w:hAnsi="Arial"/>
          <w:sz w:val="19"/>
          <w:szCs w:val="19"/>
          <w:color w:val="auto"/>
        </w:rPr>
        <w:t>”) into a currency in which a judgment will be rendered (the “</w:t>
      </w:r>
      <w:r>
        <w:rPr>
          <w:rFonts w:ascii="Arial" w:cs="Arial" w:eastAsia="Arial" w:hAnsi="Arial"/>
          <w:sz w:val="19"/>
          <w:szCs w:val="19"/>
          <w:i w:val="1"/>
          <w:iCs w:val="1"/>
          <w:color w:val="auto"/>
        </w:rPr>
        <w:t>Judgment Currency</w:t>
      </w:r>
      <w:r>
        <w:rPr>
          <w:rFonts w:ascii="Arial" w:cs="Arial" w:eastAsia="Arial" w:hAnsi="Arial"/>
          <w:sz w:val="19"/>
          <w:szCs w:val="19"/>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87" w:lineRule="auto"/>
        <w:rPr>
          <w:sz w:val="20"/>
          <w:szCs w:val="20"/>
          <w:color w:val="auto"/>
        </w:rPr>
      </w:pPr>
      <w:r>
        <w:rPr>
          <w:rFonts w:ascii="Arial" w:cs="Arial" w:eastAsia="Arial" w:hAnsi="Arial"/>
          <w:sz w:val="19"/>
          <w:szCs w:val="19"/>
          <w:color w:val="auto"/>
        </w:rPr>
        <w:t>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w:t>
      </w:r>
    </w:p>
    <w:p>
      <w:pPr>
        <w:spacing w:after="0" w:line="3" w:lineRule="exact"/>
        <w:rPr>
          <w:sz w:val="20"/>
          <w:szCs w:val="20"/>
          <w:color w:val="auto"/>
        </w:rPr>
      </w:pPr>
    </w:p>
    <w:p>
      <w:pPr>
        <w:jc w:val="both"/>
        <w:ind w:firstLine="8"/>
        <w:spacing w:after="0" w:line="264" w:lineRule="auto"/>
        <w:tabs>
          <w:tab w:leader="none" w:pos="322" w:val="left"/>
        </w:tabs>
        <w:numPr>
          <w:ilvl w:val="0"/>
          <w:numId w:val="75"/>
        </w:numPr>
        <w:rPr>
          <w:rFonts w:ascii="Arial" w:cs="Arial" w:eastAsia="Arial" w:hAnsi="Arial"/>
          <w:sz w:val="21"/>
          <w:szCs w:val="21"/>
          <w:color w:val="auto"/>
        </w:rPr>
      </w:pPr>
      <w:r>
        <w:rPr>
          <w:rFonts w:ascii="Arial" w:cs="Arial" w:eastAsia="Arial" w:hAnsi="Arial"/>
          <w:sz w:val="21"/>
          <w:szCs w:val="21"/>
          <w:color w:val="auto"/>
        </w:rPr>
        <w:t>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21"/>
          <w:szCs w:val="21"/>
          <w:i w:val="1"/>
          <w:iCs w:val="1"/>
          <w:color w:val="auto"/>
        </w:rPr>
        <w:t>New York Banking Day</w:t>
      </w:r>
      <w:r>
        <w:rPr>
          <w:rFonts w:ascii="Arial" w:cs="Arial" w:eastAsia="Arial" w:hAnsi="Arial"/>
          <w:sz w:val="21"/>
          <w:szCs w:val="21"/>
          <w:color w:val="auto"/>
        </w:rPr>
        <w:t>” means any day except a Saturday, Sunday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or a legal holiday in The City of New York on which banking institutions are authorized or required by law, regulation or executive order to close.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10.17 </w:t>
      </w:r>
      <w:r>
        <w:rPr>
          <w:rFonts w:ascii="Arial" w:cs="Arial" w:eastAsia="Arial" w:hAnsi="Arial"/>
          <w:sz w:val="22"/>
          <w:szCs w:val="22"/>
          <w:u w:val="single" w:color="auto"/>
          <w:color w:val="000000"/>
        </w:rPr>
        <w:t>Force Majeure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10.18 </w:t>
      </w:r>
      <w:r>
        <w:rPr>
          <w:rFonts w:ascii="Arial" w:cs="Arial" w:eastAsia="Arial" w:hAnsi="Arial"/>
          <w:sz w:val="22"/>
          <w:szCs w:val="22"/>
          <w:u w:val="single" w:color="auto"/>
          <w:color w:val="000000"/>
        </w:rPr>
        <w:t>U.S.A. Patriot Act</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1"/>
          <w:szCs w:val="21"/>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XI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SINKING FUNDS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11.1 </w:t>
      </w:r>
      <w:r>
        <w:rPr>
          <w:rFonts w:ascii="Arial" w:cs="Arial" w:eastAsia="Arial" w:hAnsi="Arial"/>
          <w:sz w:val="22"/>
          <w:szCs w:val="22"/>
          <w:u w:val="single" w:color="auto"/>
          <w:color w:val="000000"/>
        </w:rPr>
        <w:t>Applicability of Article</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2"/>
          <w:szCs w:val="22"/>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02" w:name="page103"/>
    <w:bookmarkEnd w:id="102"/>
    <w:p>
      <w:pPr>
        <w:jc w:val="both"/>
        <w:ind w:firstLine="1296"/>
        <w:spacing w:after="0" w:line="300" w:lineRule="auto"/>
        <w:rPr>
          <w:sz w:val="20"/>
          <w:szCs w:val="20"/>
          <w:color w:val="auto"/>
        </w:rPr>
      </w:pPr>
      <w:r>
        <w:rPr>
          <w:rFonts w:ascii="Arial" w:cs="Arial" w:eastAsia="Arial" w:hAnsi="Arial"/>
          <w:sz w:val="19"/>
          <w:szCs w:val="19"/>
          <w:color w:val="auto"/>
        </w:rPr>
        <w:t>The minimum amount of any sinking fund payment provided for by the terms of the Securities of any Series is herein referred to as a “</w:t>
      </w:r>
      <w:r>
        <w:rPr>
          <w:rFonts w:ascii="Arial" w:cs="Arial" w:eastAsia="Arial" w:hAnsi="Arial"/>
          <w:sz w:val="19"/>
          <w:szCs w:val="19"/>
          <w:i w:val="1"/>
          <w:iCs w:val="1"/>
          <w:color w:val="auto"/>
        </w:rPr>
        <w:t>mandatory sinking fund payment</w:t>
      </w:r>
      <w:r>
        <w:rPr>
          <w:rFonts w:ascii="Arial" w:cs="Arial" w:eastAsia="Arial" w:hAnsi="Arial"/>
          <w:sz w:val="19"/>
          <w:szCs w:val="19"/>
          <w:color w:val="auto"/>
        </w:rPr>
        <w:t>” and any other amount provided for by the terms of Securities of such Series is herein referred to as an “</w:t>
      </w:r>
      <w:r>
        <w:rPr>
          <w:rFonts w:ascii="Arial" w:cs="Arial" w:eastAsia="Arial" w:hAnsi="Arial"/>
          <w:sz w:val="19"/>
          <w:szCs w:val="19"/>
          <w:i w:val="1"/>
          <w:iCs w:val="1"/>
          <w:color w:val="auto"/>
        </w:rPr>
        <w:t>optional sinking fund payment</w:t>
      </w:r>
      <w:r>
        <w:rPr>
          <w:rFonts w:ascii="Arial" w:cs="Arial" w:eastAsia="Arial" w:hAnsi="Arial"/>
          <w:sz w:val="19"/>
          <w:szCs w:val="19"/>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11.2 </w:t>
      </w:r>
      <w:r>
        <w:rPr>
          <w:rFonts w:ascii="Arial" w:cs="Arial" w:eastAsia="Arial" w:hAnsi="Arial"/>
          <w:sz w:val="22"/>
          <w:szCs w:val="22"/>
          <w:u w:val="single" w:color="auto"/>
          <w:color w:val="000000"/>
        </w:rPr>
        <w:t>Satisfaction of Sinking Fund Payments with Securities</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 xml:space="preserve">Section 11.3 </w:t>
      </w:r>
      <w:r>
        <w:rPr>
          <w:rFonts w:ascii="Arial" w:cs="Arial" w:eastAsia="Arial" w:hAnsi="Arial"/>
          <w:sz w:val="22"/>
          <w:szCs w:val="22"/>
          <w:u w:val="single" w:color="auto"/>
          <w:color w:val="000000"/>
        </w:rPr>
        <w:t>Redemption of Securities for Sinking Fund</w:t>
      </w:r>
      <w:r>
        <w:rPr>
          <w:rFonts w:ascii="Arial" w:cs="Arial" w:eastAsia="Arial" w:hAnsi="Arial"/>
          <w:sz w:val="22"/>
          <w:szCs w:val="22"/>
          <w:color w:val="000000"/>
        </w:rPr>
        <w:t>.</w:t>
      </w:r>
    </w:p>
    <w:p>
      <w:pPr>
        <w:spacing w:after="0" w:line="16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103" w:name="page104"/>
    <w:bookmarkEnd w:id="103"/>
    <w:p>
      <w:pPr>
        <w:jc w:val="both"/>
        <w:spacing w:after="0" w:line="297" w:lineRule="auto"/>
        <w:rPr>
          <w:sz w:val="20"/>
          <w:szCs w:val="20"/>
          <w:color w:val="auto"/>
        </w:rPr>
      </w:pPr>
      <w:r>
        <w:rPr>
          <w:rFonts w:ascii="Arial" w:cs="Arial" w:eastAsia="Arial" w:hAnsi="Arial"/>
          <w:sz w:val="19"/>
          <w:szCs w:val="19"/>
          <w:color w:val="auto"/>
        </w:rPr>
        <w:t>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04" w:name="page105"/>
    <w:bookmarkEnd w:id="104"/>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Indenture to be duly executed as of the day and year first above written.</w:t>
      </w:r>
    </w:p>
    <w:p>
      <w:pPr>
        <w:spacing w:after="0" w:line="202"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BIOHAVEN LTD.</w:t>
      </w:r>
    </w:p>
    <w:p>
      <w:pPr>
        <w:spacing w:after="0" w:line="21"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13335</wp:posOffset>
            </wp:positionV>
            <wp:extent cx="2219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Its:</w:t>
      </w:r>
    </w:p>
    <w:p>
      <w:pPr>
        <w:spacing w:after="0" w:line="283"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 ]</w:t>
      </w:r>
    </w:p>
    <w:p>
      <w:pPr>
        <w:spacing w:after="0" w:line="287"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15875</wp:posOffset>
            </wp:positionV>
            <wp:extent cx="221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985520" cy="916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8552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color w:val="auto"/>
        </w:rPr>
        <w:t>Biohaven Limited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Kingston Chambers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PO Box 173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Road Town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Tortola, VG1110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British Virgin Islands</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2 October 2023</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Biohaven Limited (the “Company”)</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have acted as counsel as to British Virgin Islands law to the Company and have been asked to provide this legal opinion in connection with the Company’s registration statement on Form S-3ASR, including all amendments or supplements thereto, filed with the United States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United States Securities Act of 1933 (the “</w:t>
      </w:r>
      <w:r>
        <w:rPr>
          <w:rFonts w:ascii="Arial" w:cs="Arial" w:eastAsia="Arial" w:hAnsi="Arial"/>
          <w:sz w:val="19"/>
          <w:szCs w:val="19"/>
          <w:b w:val="1"/>
          <w:bCs w:val="1"/>
          <w:color w:val="auto"/>
        </w:rPr>
        <w:t>SEC Act</w:t>
      </w:r>
      <w:r>
        <w:rPr>
          <w:rFonts w:ascii="Arial" w:cs="Arial" w:eastAsia="Arial" w:hAnsi="Arial"/>
          <w:sz w:val="19"/>
          <w:szCs w:val="19"/>
          <w:color w:val="auto"/>
        </w:rPr>
        <w:t>”), as amended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which allows for the registration of offerings and sales or resales of an indeterminate amount of one or more of the following categories of securities by the Company: (i) common shares, no par value (the “</w:t>
      </w:r>
      <w:r>
        <w:rPr>
          <w:rFonts w:ascii="Arial" w:cs="Arial" w:eastAsia="Arial" w:hAnsi="Arial"/>
          <w:sz w:val="19"/>
          <w:szCs w:val="19"/>
          <w:b w:val="1"/>
          <w:bCs w:val="1"/>
          <w:color w:val="auto"/>
        </w:rPr>
        <w:t>Common Shares</w:t>
      </w:r>
      <w:r>
        <w:rPr>
          <w:rFonts w:ascii="Arial" w:cs="Arial" w:eastAsia="Arial" w:hAnsi="Arial"/>
          <w:sz w:val="19"/>
          <w:szCs w:val="19"/>
          <w:color w:val="auto"/>
        </w:rPr>
        <w:t>”), (ii) preferred shares, no par value (the “</w:t>
      </w:r>
      <w:r>
        <w:rPr>
          <w:rFonts w:ascii="Arial" w:cs="Arial" w:eastAsia="Arial" w:hAnsi="Arial"/>
          <w:sz w:val="19"/>
          <w:szCs w:val="19"/>
          <w:b w:val="1"/>
          <w:bCs w:val="1"/>
          <w:color w:val="auto"/>
        </w:rPr>
        <w:t>Preferred Shares</w:t>
      </w:r>
      <w:r>
        <w:rPr>
          <w:rFonts w:ascii="Arial" w:cs="Arial" w:eastAsia="Arial" w:hAnsi="Arial"/>
          <w:sz w:val="19"/>
          <w:szCs w:val="19"/>
          <w:color w:val="auto"/>
        </w:rPr>
        <w:t>”, together with the Common Shares,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54" w:lineRule="auto"/>
        <w:tabs>
          <w:tab w:leader="none" w:pos="312" w:val="left"/>
        </w:tabs>
        <w:numPr>
          <w:ilvl w:val="0"/>
          <w:numId w:val="76"/>
        </w:numPr>
        <w:rPr>
          <w:rFonts w:ascii="Arial" w:cs="Arial" w:eastAsia="Arial" w:hAnsi="Arial"/>
          <w:sz w:val="19"/>
          <w:szCs w:val="19"/>
          <w:color w:val="auto"/>
        </w:rPr>
      </w:pPr>
      <w:r>
        <w:rPr>
          <w:rFonts w:ascii="Arial" w:cs="Arial" w:eastAsia="Arial" w:hAnsi="Arial"/>
          <w:sz w:val="19"/>
          <w:szCs w:val="19"/>
          <w:color w:val="auto"/>
        </w:rPr>
        <w:t>depositary shares or depositary receipts representing Preferred Shares (the “</w:t>
      </w:r>
      <w:r>
        <w:rPr>
          <w:rFonts w:ascii="Arial" w:cs="Arial" w:eastAsia="Arial" w:hAnsi="Arial"/>
          <w:sz w:val="19"/>
          <w:szCs w:val="19"/>
          <w:b w:val="1"/>
          <w:bCs w:val="1"/>
          <w:color w:val="auto"/>
        </w:rPr>
        <w:t>Depositary Shares</w:t>
      </w:r>
      <w:r>
        <w:rPr>
          <w:rFonts w:ascii="Arial" w:cs="Arial" w:eastAsia="Arial" w:hAnsi="Arial"/>
          <w:sz w:val="19"/>
          <w:szCs w:val="19"/>
          <w:color w:val="auto"/>
        </w:rPr>
        <w:t>”), (iv) debt securities (the “</w:t>
      </w:r>
      <w:r>
        <w:rPr>
          <w:rFonts w:ascii="Arial" w:cs="Arial" w:eastAsia="Arial" w:hAnsi="Arial"/>
          <w:sz w:val="19"/>
          <w:szCs w:val="19"/>
          <w:b w:val="1"/>
          <w:bCs w:val="1"/>
          <w:color w:val="auto"/>
        </w:rPr>
        <w:t>Debt</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(v) warrants (the “</w:t>
      </w:r>
      <w:r>
        <w:rPr>
          <w:rFonts w:ascii="Arial" w:cs="Arial" w:eastAsia="Arial" w:hAnsi="Arial"/>
          <w:sz w:val="19"/>
          <w:szCs w:val="19"/>
          <w:b w:val="1"/>
          <w:bCs w:val="1"/>
          <w:color w:val="auto"/>
        </w:rPr>
        <w:t>Warrants</w:t>
      </w:r>
      <w:r>
        <w:rPr>
          <w:rFonts w:ascii="Arial" w:cs="Arial" w:eastAsia="Arial" w:hAnsi="Arial"/>
          <w:sz w:val="19"/>
          <w:szCs w:val="19"/>
          <w:color w:val="auto"/>
        </w:rPr>
        <w:t>”) to purchase Debt Securities, Common Shares or Preferred Shares, (vi) rights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Rights</w:t>
      </w:r>
      <w:r>
        <w:rPr>
          <w:rFonts w:ascii="Arial" w:cs="Arial" w:eastAsia="Arial" w:hAnsi="Arial"/>
          <w:sz w:val="19"/>
          <w:szCs w:val="19"/>
          <w:color w:val="auto"/>
        </w:rPr>
        <w:t>”) to purchase Securities (as defined below) of the Company, (vii) purchase contracts (the “</w:t>
      </w:r>
      <w:r>
        <w:rPr>
          <w:rFonts w:ascii="Arial" w:cs="Arial" w:eastAsia="Arial" w:hAnsi="Arial"/>
          <w:sz w:val="19"/>
          <w:szCs w:val="19"/>
          <w:b w:val="1"/>
          <w:bCs w:val="1"/>
          <w:color w:val="auto"/>
        </w:rPr>
        <w:t>Purchase Contracts</w:t>
      </w:r>
      <w:r>
        <w:rPr>
          <w:rFonts w:ascii="Arial" w:cs="Arial" w:eastAsia="Arial" w:hAnsi="Arial"/>
          <w:sz w:val="19"/>
          <w:szCs w:val="19"/>
          <w:color w:val="auto"/>
        </w:rPr>
        <w:t>”) of the Company with respect to Securities of the Company or securities of an unaffiliated entity, and (viii) units (the “</w:t>
      </w:r>
      <w:r>
        <w:rPr>
          <w:rFonts w:ascii="Arial" w:cs="Arial" w:eastAsia="Arial" w:hAnsi="Arial"/>
          <w:sz w:val="19"/>
          <w:szCs w:val="19"/>
          <w:b w:val="1"/>
          <w:bCs w:val="1"/>
          <w:color w:val="auto"/>
        </w:rPr>
        <w:t>Units</w:t>
      </w:r>
      <w:r>
        <w:rPr>
          <w:rFonts w:ascii="Arial" w:cs="Arial" w:eastAsia="Arial" w:hAnsi="Arial"/>
          <w:sz w:val="19"/>
          <w:szCs w:val="19"/>
          <w:color w:val="auto"/>
        </w:rPr>
        <w:t>”, and, together with the Common Shares, the Preferred Shares, the Depositary Shares, the Debt Securities, the Warrants, the Rights and the Purchase Contracts, the “</w:t>
      </w:r>
      <w:r>
        <w:rPr>
          <w:rFonts w:ascii="Arial" w:cs="Arial" w:eastAsia="Arial" w:hAnsi="Arial"/>
          <w:sz w:val="19"/>
          <w:szCs w:val="19"/>
          <w:b w:val="1"/>
          <w:bCs w:val="1"/>
          <w:color w:val="auto"/>
        </w:rPr>
        <w:t>Securities</w:t>
      </w:r>
      <w:r>
        <w:rPr>
          <w:rFonts w:ascii="Arial" w:cs="Arial" w:eastAsia="Arial" w:hAnsi="Arial"/>
          <w:sz w:val="19"/>
          <w:szCs w:val="19"/>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This opinion letter is given in accordance with the terms of the Validity of Securities section of the Registration Statement.</w:t>
      </w:r>
    </w:p>
    <w:p>
      <w:pPr>
        <w:spacing w:after="0" w:line="155"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Reviewed</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We have reviewed originals, copies, drafts or conformed copies of the following documents:</w:t>
      </w:r>
    </w:p>
    <w:p>
      <w:pPr>
        <w:spacing w:after="0" w:line="173"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The public records of the Company on file and available for public inspection at the Registry of Corporate Affairs in the British Virgin Islands (the “</w:t>
      </w:r>
      <w:r>
        <w:rPr>
          <w:rFonts w:ascii="Arial" w:cs="Arial" w:eastAsia="Arial" w:hAnsi="Arial"/>
          <w:sz w:val="19"/>
          <w:szCs w:val="19"/>
          <w:b w:val="1"/>
          <w:bCs w:val="1"/>
          <w:color w:val="auto"/>
        </w:rPr>
        <w:t>Registry of Corporate Affairs</w:t>
      </w:r>
      <w:r>
        <w:rPr>
          <w:rFonts w:ascii="Arial" w:cs="Arial" w:eastAsia="Arial" w:hAnsi="Arial"/>
          <w:sz w:val="19"/>
          <w:szCs w:val="19"/>
          <w:color w:val="auto"/>
        </w:rPr>
        <w:t>”) 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558927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589270" cy="3600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spacing w:after="0" w:line="202" w:lineRule="exact"/>
        <w:rPr>
          <w:sz w:val="20"/>
          <w:szCs w:val="20"/>
          <w:color w:val="auto"/>
        </w:rPr>
      </w:pPr>
    </w:p>
    <w:p>
      <w:pPr>
        <w:ind w:left="660"/>
        <w:spacing w:after="0" w:line="292" w:lineRule="auto"/>
        <w:rPr>
          <w:sz w:val="20"/>
          <w:szCs w:val="20"/>
          <w:color w:val="auto"/>
        </w:rPr>
      </w:pPr>
      <w:r>
        <w:rPr>
          <w:rFonts w:ascii="Arial" w:cs="Arial" w:eastAsia="Arial" w:hAnsi="Arial"/>
          <w:sz w:val="19"/>
          <w:szCs w:val="19"/>
          <w:color w:val="auto"/>
        </w:rPr>
        <w:t>September 2023, including the Company’s Certificate of Incorporation and the memorandum and articles of association registered on 30 September 2022 (the “</w:t>
      </w:r>
      <w:r>
        <w:rPr>
          <w:rFonts w:ascii="Arial" w:cs="Arial" w:eastAsia="Arial" w:hAnsi="Arial"/>
          <w:sz w:val="19"/>
          <w:szCs w:val="19"/>
          <w:b w:val="1"/>
          <w:bCs w:val="1"/>
          <w:color w:val="auto"/>
        </w:rPr>
        <w:t>Memorandum and Articles</w:t>
      </w:r>
      <w:r>
        <w:rPr>
          <w:rFonts w:ascii="Arial" w:cs="Arial" w:eastAsia="Arial" w:hAnsi="Arial"/>
          <w:sz w:val="19"/>
          <w:szCs w:val="19"/>
          <w:color w:val="auto"/>
        </w:rPr>
        <w:t>”).</w:t>
      </w:r>
    </w:p>
    <w:p>
      <w:pPr>
        <w:spacing w:after="0" w:line="89"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records of proceedings available from a search of the electronic records maintained on the Judicial Enforcement Management System from 1 January 2000 and available for inspection on 29 September 2023 at the British Virgin Islands High Court Registry (the “</w:t>
      </w:r>
      <w:r>
        <w:rPr>
          <w:rFonts w:ascii="Arial" w:cs="Arial" w:eastAsia="Arial" w:hAnsi="Arial"/>
          <w:sz w:val="19"/>
          <w:szCs w:val="19"/>
          <w:b w:val="1"/>
          <w:bCs w:val="1"/>
          <w:color w:val="auto"/>
        </w:rPr>
        <w:t>High Court Registry</w:t>
      </w:r>
      <w:r>
        <w:rPr>
          <w:rFonts w:ascii="Arial" w:cs="Arial" w:eastAsia="Arial" w:hAnsi="Arial"/>
          <w:sz w:val="19"/>
          <w:szCs w:val="19"/>
          <w:color w:val="auto"/>
        </w:rPr>
        <w:t>”).</w:t>
      </w:r>
    </w:p>
    <w:p>
      <w:pPr>
        <w:spacing w:after="0" w:line="10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The written resolutions of the board of directors of the Company dated 2 October 2023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83"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A Certificate of Incumbency dated 29 September 2023, issued by Maples Corporate Services (BVI) Limited, the Company’s registered agent (the “</w:t>
      </w:r>
      <w:r>
        <w:rPr>
          <w:rFonts w:ascii="Arial" w:cs="Arial" w:eastAsia="Arial" w:hAnsi="Arial"/>
          <w:sz w:val="19"/>
          <w:szCs w:val="19"/>
          <w:b w:val="1"/>
          <w:bCs w:val="1"/>
          <w:color w:val="auto"/>
        </w:rPr>
        <w:t>Registered Agent’s Certificate</w:t>
      </w:r>
      <w:r>
        <w:rPr>
          <w:rFonts w:ascii="Arial" w:cs="Arial" w:eastAsia="Arial" w:hAnsi="Arial"/>
          <w:sz w:val="19"/>
          <w:szCs w:val="19"/>
          <w:color w:val="auto"/>
        </w:rPr>
        <w:t>”).</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color w:val="auto"/>
        </w:rPr>
        <w:t>A certificate of good standing with respect to the Company issued by the Registrar of Corporate Affairs dated 29 September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2023 (the “</w:t>
      </w:r>
      <w:r>
        <w:rPr>
          <w:rFonts w:ascii="Arial" w:cs="Arial" w:eastAsia="Arial" w:hAnsi="Arial"/>
          <w:sz w:val="19"/>
          <w:szCs w:val="19"/>
          <w:b w:val="1"/>
          <w:bCs w:val="1"/>
          <w:color w:val="auto"/>
        </w:rPr>
        <w:t>Certificate of Good Standing</w:t>
      </w:r>
      <w:r>
        <w:rPr>
          <w:rFonts w:ascii="Arial" w:cs="Arial" w:eastAsia="Arial" w:hAnsi="Arial"/>
          <w:sz w:val="19"/>
          <w:szCs w:val="19"/>
          <w:color w:val="auto"/>
        </w:rPr>
        <w:t>”).</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A certificate from a director of the Company (the “</w:t>
      </w:r>
      <w:r>
        <w:rPr>
          <w:rFonts w:ascii="Arial" w:cs="Arial" w:eastAsia="Arial" w:hAnsi="Arial"/>
          <w:sz w:val="18"/>
          <w:szCs w:val="18"/>
          <w:b w:val="1"/>
          <w:bCs w:val="1"/>
          <w:color w:val="auto"/>
        </w:rPr>
        <w:t>Director’s Certificate</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8"/>
          <w:szCs w:val="18"/>
          <w:color w:val="auto"/>
        </w:rPr>
        <w:t>The Registration Statement.</w:t>
      </w:r>
    </w:p>
    <w:p>
      <w:pPr>
        <w:spacing w:after="0" w:line="155"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Assumptions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following opinions are given only as to, and based on, circumstances and matters of fact existing and known to us on the date of this opinion letter. These opinions only relate to the laws of the British Virgin Islands which are in force on the date of this opinion letter. In giving the following opinions we have relied (without further verification) upon the completeness and accuracy, as at the date of this opinion letter, of the Registered Agent’s Certificate, the Director’s Certificate and the Certificate of Good Standing. We have also relied upon the following assumptions, which we have not independently verified:</w:t>
      </w:r>
    </w:p>
    <w:p>
      <w:pPr>
        <w:spacing w:after="0" w:line="14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The creation and issuance of the Preferred Shares has been, or will be, authorised and approved by the directors of the Company and, prior to the issuance of any such Preferred Shares, an appropriate amendment to, or restatement of the Memorandum and Articles to create the Preferred Shares (including all rights attaching thereto) has been registered by the Registrar of Corporate Affairs in the British Virgin Islands, for the avoidance of doubt, any such amendment to the Memorandum and Articles shall not affect the opinions set out below (the “</w:t>
      </w:r>
      <w:r>
        <w:rPr>
          <w:rFonts w:ascii="Arial" w:cs="Arial" w:eastAsia="Arial" w:hAnsi="Arial"/>
          <w:sz w:val="19"/>
          <w:szCs w:val="19"/>
          <w:b w:val="1"/>
          <w:bCs w:val="1"/>
          <w:color w:val="auto"/>
        </w:rPr>
        <w:t>Amended Memorandum and Articles</w:t>
      </w:r>
      <w:r>
        <w:rPr>
          <w:rFonts w:ascii="Arial" w:cs="Arial" w:eastAsia="Arial" w:hAnsi="Arial"/>
          <w:sz w:val="19"/>
          <w:szCs w:val="19"/>
          <w:color w:val="auto"/>
        </w:rPr>
        <w:t>”).</w:t>
      </w:r>
    </w:p>
    <w:p>
      <w:pPr>
        <w:spacing w:after="0" w:line="12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indenture to be entered into by the Company and any trustee pursuant to which the Debt Securities will be issued (the “</w:t>
      </w:r>
      <w:r>
        <w:rPr>
          <w:rFonts w:ascii="Arial" w:cs="Arial" w:eastAsia="Arial" w:hAnsi="Arial"/>
          <w:sz w:val="19"/>
          <w:szCs w:val="19"/>
          <w:b w:val="1"/>
          <w:bCs w:val="1"/>
          <w:color w:val="auto"/>
        </w:rPr>
        <w:t>Indenture</w:t>
      </w:r>
      <w:r>
        <w:rPr>
          <w:rFonts w:ascii="Arial" w:cs="Arial" w:eastAsia="Arial" w:hAnsi="Arial"/>
          <w:sz w:val="19"/>
          <w:szCs w:val="19"/>
          <w:color w:val="auto"/>
        </w:rPr>
        <w:t>”), the Debt Securities, the deposit agreements to be entered into between the Company and the financial institutions designated as depositaries thereunder pursuant to which the Depositary Shares will be issued (the “</w:t>
      </w:r>
      <w:r>
        <w:rPr>
          <w:rFonts w:ascii="Arial" w:cs="Arial" w:eastAsia="Arial" w:hAnsi="Arial"/>
          <w:sz w:val="19"/>
          <w:szCs w:val="19"/>
          <w:b w:val="1"/>
          <w:bCs w:val="1"/>
          <w:color w:val="auto"/>
        </w:rPr>
        <w:t>Deposit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the Depositary Shares, the Warrants, the warrant agreements to be entered into between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financial institutions designated as warrant agent thereunder pursuant to which the Warrants will be issued (the “</w:t>
      </w:r>
      <w:r>
        <w:rPr>
          <w:rFonts w:ascii="Arial" w:cs="Arial" w:eastAsia="Arial" w:hAnsi="Arial"/>
          <w:sz w:val="19"/>
          <w:szCs w:val="19"/>
          <w:b w:val="1"/>
          <w:bCs w:val="1"/>
          <w:color w:val="auto"/>
        </w:rPr>
        <w:t>Warrant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the Rights, the rights agreements to be entered into by the Company and the financial institutions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as rights agent thereunder pursuant to which the Rights will be issued (the “</w:t>
      </w:r>
      <w:r>
        <w:rPr>
          <w:rFonts w:ascii="Arial" w:cs="Arial" w:eastAsia="Arial" w:hAnsi="Arial"/>
          <w:sz w:val="19"/>
          <w:szCs w:val="19"/>
          <w:b w:val="1"/>
          <w:bCs w:val="1"/>
          <w:color w:val="auto"/>
        </w:rPr>
        <w:t>Rights Agreements</w:t>
      </w:r>
      <w:r>
        <w:rPr>
          <w:rFonts w:ascii="Arial" w:cs="Arial" w:eastAsia="Arial" w:hAnsi="Arial"/>
          <w:sz w:val="19"/>
          <w:szCs w:val="19"/>
          <w:color w:val="auto"/>
        </w:rPr>
        <w:t>”), the Purchase Contracts, the Units and the unit agreements to be entered into by the Company pursuant to which the Units will be issued (the “</w:t>
      </w:r>
      <w:r>
        <w:rPr>
          <w:rFonts w:ascii="Arial" w:cs="Arial" w:eastAsia="Arial" w:hAnsi="Arial"/>
          <w:sz w:val="19"/>
          <w:szCs w:val="19"/>
          <w:b w:val="1"/>
          <w:bCs w:val="1"/>
          <w:color w:val="auto"/>
        </w:rPr>
        <w:t>Unit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together with the Indenture, the Deposit Agreements, the Warrant Agreements, the Rights Agreements,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Agreements, the Unit Agreements and any certificates evidencing the Warrants, the Rights or the Units, the “</w:t>
      </w:r>
      <w:r>
        <w:rPr>
          <w:rFonts w:ascii="Arial" w:cs="Arial" w:eastAsia="Arial" w:hAnsi="Arial"/>
          <w:sz w:val="19"/>
          <w:szCs w:val="19"/>
          <w:b w:val="1"/>
          <w:bCs w:val="1"/>
          <w:color w:val="auto"/>
        </w:rPr>
        <w:t>Agreements</w:t>
      </w:r>
      <w:r>
        <w:rPr>
          <w:rFonts w:ascii="Arial" w:cs="Arial" w:eastAsia="Arial" w:hAnsi="Arial"/>
          <w:sz w:val="19"/>
          <w:szCs w:val="19"/>
          <w:color w:val="auto"/>
        </w:rPr>
        <w: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2"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been, or will be, authorised and duly executed and unconditionally delivered by or on behalf of all relevant parties in accordance with all relevant laws.</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color w:val="auto"/>
        </w:rPr>
        <w:t>The Securities (other than the Shares) and the Agreements are governed by the laws of the State of New York.</w:t>
      </w:r>
    </w:p>
    <w:p>
      <w:pPr>
        <w:spacing w:after="0" w:line="160"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The Securities (other than the Shares) and the Agreements are, or will be, legal, valid, binding and enforceable against all relevant parties in accordance with their terms under the laws of the State of New York and all other relevant laws.</w:t>
      </w:r>
    </w:p>
    <w:p>
      <w:pPr>
        <w:spacing w:after="0" w:line="118"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9"/>
          <w:szCs w:val="19"/>
          <w:color w:val="auto"/>
        </w:rPr>
        <w:t>The choice of the laws of the State of New York as the governing law of the Securities (other than the Shares) and the Agreements has, or will have, been made in good faith and would be regarded as a valid and binding selection which will be upheld by the courts of the State of New York and any other relevant jurisdiction (other than the laws of the British Virgin Islands) as a matter of the laws of the State of New York and all other relevant laws (other than the laws of the British Virgin Islands).</w:t>
      </w:r>
    </w:p>
    <w:p>
      <w:pPr>
        <w:spacing w:after="0" w:line="140"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The capacity, power, authority and legal right of all parties under all relevant laws and regulations (other than, with respect to the Company, the laws and regulations of the British Virgin Islands) to enter into, execute, unconditionally deliver and perform their respective obligations under the Securities (other than the Shares) and the Agreements.</w:t>
      </w:r>
    </w:p>
    <w:p>
      <w:pPr>
        <w:spacing w:after="0" w:line="116"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Any Securities (other than the Shares) will be issued and authenticated in accordance with the provisions of all relevant duly authorised, executed and delivered Agreement.</w:t>
      </w:r>
    </w:p>
    <w:p>
      <w:pPr>
        <w:spacing w:after="0" w:line="118"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9"/>
          <w:szCs w:val="19"/>
          <w:color w:val="auto"/>
        </w:rPr>
        <w:t>The Securities (other than the Shares) and the Agreements will be, or have been, duly executed and delivered by an authorised person of the parties thereto.</w:t>
      </w:r>
    </w:p>
    <w:p>
      <w:pPr>
        <w:spacing w:after="0" w:line="118"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9"/>
          <w:szCs w:val="19"/>
          <w:color w:val="auto"/>
        </w:rPr>
        <w:t>2.9</w:t>
      </w:r>
      <w:r>
        <w:rPr>
          <w:sz w:val="20"/>
          <w:szCs w:val="20"/>
          <w:color w:val="auto"/>
        </w:rPr>
        <w:tab/>
      </w:r>
      <w:r>
        <w:rPr>
          <w:rFonts w:ascii="Arial" w:cs="Arial" w:eastAsia="Arial" w:hAnsi="Arial"/>
          <w:sz w:val="19"/>
          <w:szCs w:val="19"/>
          <w:color w:val="auto"/>
        </w:rPr>
        <w:t>There is no contractual or other prohibition or restriction (other than as arising under British Virgin Islands law) binding on the Company prohibiting or restricting it from entering into and performing its obligations under Securities (other than the Shares) and the Agreements.</w:t>
      </w:r>
    </w:p>
    <w:p>
      <w:pPr>
        <w:spacing w:after="0" w:line="135"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2.10</w:t>
        <w:tab/>
        <w:t>No monies paid to or for the account of any party under the Agreements represent or will represent proceeds of criminal conduct (as defined in the Proceeds of Criminal Conduct Act (As Revised)).</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8"/>
          <w:szCs w:val="18"/>
          <w:color w:val="auto"/>
        </w:rPr>
        <w:t>The issue of the Securities and entry into the Agreements will be of commercial benefit to the Company.</w:t>
      </w:r>
    </w:p>
    <w:p>
      <w:pPr>
        <w:spacing w:after="0" w:line="160"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2.12</w:t>
        <w:tab/>
        <w:t>Copies of documents, conformed copies or drafts of documents provided to us are true and complete copies of, or in the final forms of, the originals.</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8"/>
          <w:szCs w:val="18"/>
          <w:color w:val="auto"/>
        </w:rPr>
        <w:t>All signatures, initials and seals are genuine.</w:t>
      </w:r>
    </w:p>
    <w:p>
      <w:pPr>
        <w:spacing w:after="0" w:line="173"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2.14</w:t>
        <w:tab/>
        <w:t>The Debt Securities will be issued and authenticated in accordance with the provisions of a duly authorised, executed and delivered Indenture.</w:t>
      </w:r>
    </w:p>
    <w:p>
      <w:pPr>
        <w:spacing w:after="0" w:line="105"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19"/>
          <w:szCs w:val="19"/>
          <w:color w:val="auto"/>
        </w:rPr>
        <w:t>2.15</w:t>
        <w:tab/>
        <w:t>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information which had been delivered for registration but did not appear on the public records at the date of our searches.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2"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9"/>
          <w:szCs w:val="19"/>
          <w:color w:val="auto"/>
        </w:rPr>
        <w:t>2.16</w:t>
        <w:tab/>
        <w:t>The Memorandum and Articles remain in full force and effect and are unamended other than in the case of Preferred Shares being issued under the Amended Memorandum and Articles. There will be sufficient Shares authorised for issue under the Memorandum and Articles or Amended Memorandum and Articles, as appropriate.</w:t>
      </w:r>
    </w:p>
    <w:p>
      <w:pPr>
        <w:spacing w:after="0" w:line="11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9"/>
          <w:szCs w:val="19"/>
          <w:color w:val="auto"/>
        </w:rPr>
        <w:t>2.17</w:t>
        <w:tab/>
        <w:t>The Resolutions passed at any meeting of the board of directors of the Company are a true and correct record of the proceedings of a meeting of the board of directors of the Company, which was duly convened and held, and at which a quorum was present throughout and at which each director disclosed his interest (if any), in the manner prescribed in the Memorandum and Articles, and the resolutions passed at such meeting have not been amended, varied or revoked in any respect. The written resolutions of the board of directors dated 2 October 2023 were signed by all the directors in the manner prescribed in the Memorandum and Articles of the Company, including as to the disclosure of any director’s interests, and have not been amended, varied or revoked in any respect.</w:t>
      </w:r>
    </w:p>
    <w:p>
      <w:pPr>
        <w:spacing w:after="0" w:line="133"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19"/>
          <w:szCs w:val="19"/>
          <w:color w:val="auto"/>
        </w:rPr>
        <w:t>2.18</w:t>
        <w:tab/>
        <w:t>The members of the Company (the “</w:t>
      </w:r>
      <w:r>
        <w:rPr>
          <w:rFonts w:ascii="Arial" w:cs="Arial" w:eastAsia="Arial" w:hAnsi="Arial"/>
          <w:sz w:val="19"/>
          <w:szCs w:val="19"/>
          <w:b w:val="1"/>
          <w:bCs w:val="1"/>
          <w:color w:val="auto"/>
        </w:rPr>
        <w:t>Members</w:t>
      </w:r>
      <w:r>
        <w:rPr>
          <w:rFonts w:ascii="Arial" w:cs="Arial" w:eastAsia="Arial" w:hAnsi="Arial"/>
          <w:sz w:val="19"/>
          <w:szCs w:val="19"/>
          <w:color w:val="auto"/>
        </w:rPr>
        <w:t>”) have not restricted or limited the powers of the directors of the Company in any way.</w:t>
      </w:r>
    </w:p>
    <w:p>
      <w:pPr>
        <w:spacing w:after="0" w:line="108"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19"/>
          <w:szCs w:val="19"/>
          <w:color w:val="auto"/>
        </w:rPr>
        <w:t>2.19</w:t>
        <w:tab/>
        <w:t>The Company has sufficient authorised and unissued Shares under the Memorandum and Articles at the time any Shares are issued.</w:t>
      </w:r>
    </w:p>
    <w:p>
      <w:pPr>
        <w:spacing w:after="0" w:line="130"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2.20</w:t>
        <w:tab/>
        <w:t>No invitation has been or will be made by or on behalf of the Company to the public in the British Virgin Islands to subscribe for any of the Securities.</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2.21</w:t>
        <w:tab/>
        <w:t>The Company has received, or will receive, cash consideration or non-cash consideration in consideration for the issue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Shares, and that:</w:t>
      </w:r>
    </w:p>
    <w:p>
      <w:pPr>
        <w:spacing w:after="0" w:line="148"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none of the Shares have been, or will be, issued for less than their par value; and</w:t>
      </w:r>
    </w:p>
    <w:p>
      <w:pPr>
        <w:spacing w:after="0" w:line="173" w:lineRule="exact"/>
        <w:rPr>
          <w:rFonts w:ascii="Arial" w:cs="Arial" w:eastAsia="Arial" w:hAnsi="Arial"/>
          <w:sz w:val="19"/>
          <w:szCs w:val="19"/>
          <w:color w:val="auto"/>
        </w:rPr>
      </w:pPr>
    </w:p>
    <w:p>
      <w:pPr>
        <w:jc w:val="both"/>
        <w:ind w:left="1300" w:hanging="644"/>
        <w:spacing w:after="0" w:line="264" w:lineRule="auto"/>
        <w:tabs>
          <w:tab w:leader="none" w:pos="1288" w:val="left"/>
        </w:tabs>
        <w:numPr>
          <w:ilvl w:val="0"/>
          <w:numId w:val="79"/>
        </w:numPr>
        <w:rPr>
          <w:rFonts w:ascii="Arial" w:cs="Arial" w:eastAsia="Arial" w:hAnsi="Arial"/>
          <w:sz w:val="19"/>
          <w:szCs w:val="19"/>
          <w:color w:val="auto"/>
        </w:rPr>
      </w:pPr>
      <w:r>
        <w:rPr>
          <w:rFonts w:ascii="Arial" w:cs="Arial" w:eastAsia="Arial" w:hAnsi="Arial"/>
          <w:sz w:val="19"/>
          <w:szCs w:val="19"/>
          <w:color w:val="auto"/>
        </w:rPr>
        <w:t>to the extent that any Shares are, or will be, issued, in whole or in part, for non-cash consideration, the value of the non-cash consideration and cash consideration, if any, is not less than the amount credited or to be credited for such Shares.</w:t>
      </w:r>
    </w:p>
    <w:p>
      <w:pPr>
        <w:spacing w:after="0" w:line="129" w:lineRule="exact"/>
        <w:rPr>
          <w:sz w:val="20"/>
          <w:szCs w:val="20"/>
          <w:color w:val="auto"/>
        </w:rPr>
      </w:pPr>
    </w:p>
    <w:p>
      <w:pPr>
        <w:jc w:val="both"/>
        <w:ind w:left="640" w:right="20" w:hanging="647"/>
        <w:spacing w:after="0" w:line="255" w:lineRule="auto"/>
        <w:tabs>
          <w:tab w:leader="none" w:pos="620" w:val="left"/>
        </w:tabs>
        <w:rPr>
          <w:sz w:val="20"/>
          <w:szCs w:val="20"/>
          <w:color w:val="auto"/>
        </w:rPr>
      </w:pPr>
      <w:r>
        <w:rPr>
          <w:rFonts w:ascii="Arial" w:cs="Arial" w:eastAsia="Arial" w:hAnsi="Arial"/>
          <w:sz w:val="19"/>
          <w:szCs w:val="19"/>
          <w:color w:val="auto"/>
        </w:rPr>
        <w:t>2.22</w:t>
        <w:tab/>
        <w:t>The Shares to be issued upon exchange or conversion of the Debt Securities or exercise of the Warrants or Rights are issued for cash consideration, or, to the extent that any Shares to be issued upon exchange or conversion of the Debt Securities or exercise of the Warrants or Rights are to be issued, in whole or in part, for non-cash consideration, the Company has passed or will pass a resolution of directors in respect of such Shares stating:</w:t>
      </w:r>
    </w:p>
    <w:p>
      <w:pPr>
        <w:spacing w:after="0" w:line="138"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amount to be credited for the issue of such Shares; and</w:t>
      </w:r>
    </w:p>
    <w:p>
      <w:pPr>
        <w:spacing w:after="0" w:line="173" w:lineRule="exact"/>
        <w:rPr>
          <w:rFonts w:ascii="Arial" w:cs="Arial" w:eastAsia="Arial" w:hAnsi="Arial"/>
          <w:sz w:val="19"/>
          <w:szCs w:val="19"/>
          <w:color w:val="auto"/>
        </w:rPr>
      </w:pPr>
    </w:p>
    <w:p>
      <w:pPr>
        <w:ind w:left="1300" w:hanging="644"/>
        <w:spacing w:after="0" w:line="262" w:lineRule="auto"/>
        <w:tabs>
          <w:tab w:leader="none" w:pos="1288"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that, in their opinion, the present cash value of the non-cash consideration and cash consideration, if any, is not less than the amount to be credited for such Shares.</w:t>
      </w:r>
    </w:p>
    <w:p>
      <w:pPr>
        <w:spacing w:after="0" w:line="130" w:lineRule="exact"/>
        <w:rPr>
          <w:sz w:val="20"/>
          <w:szCs w:val="20"/>
          <w:color w:val="auto"/>
        </w:rPr>
      </w:pPr>
    </w:p>
    <w:p>
      <w:pPr>
        <w:jc w:val="both"/>
        <w:ind w:left="640" w:right="20" w:hanging="647"/>
        <w:spacing w:after="0" w:line="264" w:lineRule="auto"/>
        <w:tabs>
          <w:tab w:leader="none" w:pos="620" w:val="left"/>
        </w:tabs>
        <w:rPr>
          <w:sz w:val="20"/>
          <w:szCs w:val="20"/>
          <w:color w:val="auto"/>
        </w:rPr>
      </w:pPr>
      <w:r>
        <w:rPr>
          <w:rFonts w:ascii="Arial" w:cs="Arial" w:eastAsia="Arial" w:hAnsi="Arial"/>
          <w:sz w:val="19"/>
          <w:szCs w:val="19"/>
          <w:color w:val="auto"/>
        </w:rPr>
        <w:t>2.23</w:t>
        <w:tab/>
        <w:t>There is nothing under any law (other than the laws of the British Virgin Islands) which would or might affect the opinions set out below. We have not made any investigation of the laws, rules or regulations of any jurisdiction other than the laws of the British Virgin Islands.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Save as aforesaid we have not been instructed to undertake and have not undertaken any further enquiry or due diligence in relation to the transaction the subject of this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4"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Opinions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Based upon, and subject to, the foregoing assumptions and the qualifications set out below, and having regard to such legal considerations as we deem relevant, we are of the opinion that:</w:t>
      </w:r>
    </w:p>
    <w:p>
      <w:pPr>
        <w:spacing w:after="0" w:line="130"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Company is a company limited by shares incorporated with limited liability under the BVI Business Companies Act (As Revised) (the “</w:t>
      </w:r>
      <w:r>
        <w:rPr>
          <w:rFonts w:ascii="Arial" w:cs="Arial" w:eastAsia="Arial" w:hAnsi="Arial"/>
          <w:sz w:val="19"/>
          <w:szCs w:val="19"/>
          <w:b w:val="1"/>
          <w:bCs w:val="1"/>
          <w:color w:val="auto"/>
        </w:rPr>
        <w:t>Act</w:t>
      </w:r>
      <w:r>
        <w:rPr>
          <w:rFonts w:ascii="Arial" w:cs="Arial" w:eastAsia="Arial" w:hAnsi="Arial"/>
          <w:sz w:val="19"/>
          <w:szCs w:val="19"/>
          <w:color w:val="auto"/>
        </w:rPr>
        <w:t>”), is in good standing at the Registry of Corporate Affairs, is validly existing under the laws of the British Virgin Islands and possesses the capacity to sue and be sued in its own name.</w:t>
      </w:r>
    </w:p>
    <w:p>
      <w:pPr>
        <w:spacing w:after="0" w:line="12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With respect to the Common Shares, when: (a) the board of directors of the Company has taken all necessary corporate action to approve the issue thereof, the terms of the offering thereof and related matters; (b) the issue of such Common Shares have been recorded in the Company’s register of members; and (c) the subscription price of such Common Shares have been fully paid in cash or other consideration approved by the board of directors of the Company, the Common Shares will be duly authorised, validly issued, fully-paid and non-assessable. As a matter of British Virgin Islands law, a share is only issued when it has been entered in the register of members.</w:t>
      </w:r>
    </w:p>
    <w:p>
      <w:pPr>
        <w:spacing w:after="0" w:line="125" w:lineRule="exact"/>
        <w:rPr>
          <w:sz w:val="20"/>
          <w:szCs w:val="20"/>
          <w:color w:val="auto"/>
        </w:rPr>
      </w:pPr>
    </w:p>
    <w:p>
      <w:pPr>
        <w:jc w:val="both"/>
        <w:ind w:left="640" w:right="20" w:hanging="647"/>
        <w:spacing w:after="0" w:line="276" w:lineRule="auto"/>
        <w:tabs>
          <w:tab w:leader="none" w:pos="62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The Company has all the requisite power and authority under the Memorandum and Articles to enter into, execute and perform its obligations under:</w:t>
      </w:r>
    </w:p>
    <w:p>
      <w:pPr>
        <w:spacing w:after="0" w:line="118" w:lineRule="exact"/>
        <w:rPr>
          <w:sz w:val="20"/>
          <w:szCs w:val="20"/>
          <w:color w:val="auto"/>
        </w:rPr>
      </w:pPr>
    </w:p>
    <w:p>
      <w:pPr>
        <w:ind w:left="1300" w:right="20" w:hanging="644"/>
        <w:spacing w:after="0" w:line="276" w:lineRule="auto"/>
        <w:tabs>
          <w:tab w:leader="none" w:pos="1288"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Indenture to which it will be a party and the Debt Securities issuable under such Indenture to which it is, or will be, a party;</w:t>
      </w:r>
    </w:p>
    <w:p>
      <w:pPr>
        <w:spacing w:after="0" w:line="118" w:lineRule="exact"/>
        <w:rPr>
          <w:rFonts w:ascii="Arial" w:cs="Arial" w:eastAsia="Arial" w:hAnsi="Arial"/>
          <w:sz w:val="19"/>
          <w:szCs w:val="19"/>
          <w:color w:val="auto"/>
        </w:rPr>
      </w:pPr>
    </w:p>
    <w:p>
      <w:pPr>
        <w:ind w:left="1300" w:hanging="644"/>
        <w:spacing w:after="0" w:line="262" w:lineRule="auto"/>
        <w:tabs>
          <w:tab w:leader="none" w:pos="1288"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Deposit Agreement to which it will be a party and the Depositary Shares issuable under each such Deposit Agreement to which it is, or will be, a party;</w:t>
      </w:r>
    </w:p>
    <w:p>
      <w:pPr>
        <w:spacing w:after="0" w:line="130" w:lineRule="exact"/>
        <w:rPr>
          <w:rFonts w:ascii="Arial" w:cs="Arial" w:eastAsia="Arial" w:hAnsi="Arial"/>
          <w:sz w:val="19"/>
          <w:szCs w:val="19"/>
          <w:color w:val="auto"/>
        </w:rPr>
      </w:pPr>
    </w:p>
    <w:p>
      <w:pPr>
        <w:ind w:left="1300" w:hanging="644"/>
        <w:spacing w:after="0" w:line="276" w:lineRule="auto"/>
        <w:tabs>
          <w:tab w:leader="none" w:pos="1291"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Warrant Agreement to which it will be a party and the Warrants issuable under each such Warrant Agreement to which will be a party;</w:t>
      </w:r>
    </w:p>
    <w:p>
      <w:pPr>
        <w:spacing w:after="0" w:line="118" w:lineRule="exact"/>
        <w:rPr>
          <w:rFonts w:ascii="Arial" w:cs="Arial" w:eastAsia="Arial" w:hAnsi="Arial"/>
          <w:sz w:val="19"/>
          <w:szCs w:val="19"/>
          <w:color w:val="auto"/>
        </w:rPr>
      </w:pPr>
    </w:p>
    <w:p>
      <w:pPr>
        <w:ind w:left="1300" w:right="20" w:hanging="644"/>
        <w:spacing w:after="0" w:line="276" w:lineRule="auto"/>
        <w:tabs>
          <w:tab w:leader="none" w:pos="1288"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Rights Agreement to which it will be a party and the Rights issuable under each such Rights Agreement to which will be a party;</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Purchase Contract to which it will be a party; and</w:t>
      </w:r>
    </w:p>
    <w:p>
      <w:pPr>
        <w:spacing w:after="0" w:line="173" w:lineRule="exact"/>
        <w:rPr>
          <w:rFonts w:ascii="Arial" w:cs="Arial" w:eastAsia="Arial" w:hAnsi="Arial"/>
          <w:sz w:val="19"/>
          <w:szCs w:val="19"/>
          <w:color w:val="auto"/>
        </w:rPr>
      </w:pPr>
    </w:p>
    <w:p>
      <w:pPr>
        <w:ind w:left="1300" w:hanging="644"/>
        <w:spacing w:after="0" w:line="276" w:lineRule="auto"/>
        <w:tabs>
          <w:tab w:leader="none" w:pos="1289"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Unit Agreement to which it will be a party and the Units issuable under each such Unit Agreement to which will be a party.</w:t>
      </w:r>
    </w:p>
    <w:p>
      <w:pPr>
        <w:spacing w:after="0" w:line="118"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With respect to the Preferred Shares, when (i) the board of directors of the Company has taken all necessary corporate action to approve the issue thereof, the terms of the offering thereof and related matters; (ii) the Amended Memorandum and Articles have been registered by the Registrar of Corporate Affairs in the British Virgin Islands, (iii) the issue of such Preferred Shares has been recorded in the Company’s register of members, and (iv) the subscription price of such Preferred Shares (being not less than the par value of the Preferred Shares) has been fully paid in cash or other consideration approved by the board of directors of the Company, the Preferred Shares will be duly authorised, validly issued, fully paid and non-assessable.</w:t>
      </w:r>
    </w:p>
    <w:p>
      <w:pPr>
        <w:spacing w:after="0" w:line="138"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With respect to each issue of Debt Securities pursuant to the Indenture, when (i) the board of directors of the Company has taken all necessary corporate action to approve the issue thereof, the terms of the offering thereof and related matters; (ii) the Indenture relating to the Debt Securities shall have been duly authorised and validly executed and delivered by the Company and the trustee thereunder; and (iii) when such Debt Securities issued thereunder have been duly executed and delivered on behalf of the Company and authenticated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2" w:lineRule="exact"/>
        <w:rPr>
          <w:sz w:val="20"/>
          <w:szCs w:val="20"/>
          <w:color w:val="auto"/>
        </w:rPr>
      </w:pPr>
    </w:p>
    <w:p>
      <w:pPr>
        <w:jc w:val="both"/>
        <w:ind w:left="660"/>
        <w:spacing w:after="0" w:line="264" w:lineRule="auto"/>
        <w:rPr>
          <w:sz w:val="20"/>
          <w:szCs w:val="20"/>
          <w:color w:val="auto"/>
        </w:rPr>
      </w:pPr>
      <w:r>
        <w:rPr>
          <w:rFonts w:ascii="Arial" w:cs="Arial" w:eastAsia="Arial" w:hAnsi="Arial"/>
          <w:sz w:val="19"/>
          <w:szCs w:val="19"/>
          <w:color w:val="auto"/>
        </w:rPr>
        <w:t>manner set forth in the Indenture relating to such issue of Debt Securities and delivered against due payment therefor pursuant to, and in accordance with, the terms of the Registration Statement and any relevant prospectus supplement, such Indenture and the Debt Securities issued pursuant to the Indenture will have been duly executed, issued and delivered.</w:t>
      </w:r>
    </w:p>
    <w:p>
      <w:pPr>
        <w:spacing w:after="0" w:line="11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With respect to the Deposit Agreements and the Depositary Shares, when (i) the board of directors of the Company has taken all necessary corporate action to approve the creation and terms of the Depositary Shares and to approve the issue thereof, the terms of the offering thereof and related matters; (ii) a Deposit Agreement relating to the Depositary Shares shall have been duly authorised and validly executed and delivered by the Company and the financial institution designated as depositary thereunder; and (iii) the certificates representing the Depositary Shares have been duly executed, countersigned, registered and delivered in accordance with the Deposit Agreement relating to the Depositary Shares and the applicable definitive purchase, underwriting or similar agreement approved by the board of directors of the Company upon payment of the consideration therefor provided therein, the Deposit Agreements and the Depositary Shares issued thereunder will be duly authorised, legal and binding obligations of the Company.</w:t>
      </w:r>
    </w:p>
    <w:p>
      <w:pPr>
        <w:spacing w:after="0" w:line="141"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With respect to the Warrant Agreements and the Warrants, when (i) the board of directors of the Company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financial institution designated as warrant agent thereunder; and (iii) the certificates representing the Warrants have been duly executed, countersigned, registered and delivered in accordance with the Warrant Agreement relating to the Warrants and the applicable definitive purchase, underwriting or similar agreement approved by the board of directors of the Company upon payment of the consideration therefor provided therein, the Warrant Agreements and the Warrants issued thereunder will be duly authorised, legal and binding obligations of the Company.</w:t>
      </w:r>
    </w:p>
    <w:p>
      <w:pPr>
        <w:spacing w:after="0" w:line="14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9"/>
          <w:szCs w:val="19"/>
          <w:color w:val="auto"/>
        </w:rPr>
        <w:t>With respect to the Rights Agreements and the Rights, when (i) the board of directors of the Company has taken all necessary corporate action to approve the creation and terms of the Rights and to approve the issue thereof, the terms of the offering thereof and related matters; (ii) a Rights Agreement relating to the Rights shall have been duly authorised and validly executed and delivered by the Company and the financial institution designated as rights agent thereunder; and (iii) the certificates representing the Rights have been duly executed, countersigned, registered and delivered in accordance with the Rights Agreement relating to the Rights and the applicable definitive purchase, underwriting or similar agreement approved by the board of directors of the Company upon payment of the consideration therefor provided therein, the Rights Agreements and the Rights issued thereunder will be duly authorised, legal and binding obligations of the Company.</w:t>
      </w:r>
    </w:p>
    <w:p>
      <w:pPr>
        <w:spacing w:after="0" w:line="12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9"/>
          <w:szCs w:val="19"/>
          <w:color w:val="auto"/>
        </w:rPr>
        <w:t>3.9</w:t>
      </w:r>
      <w:r>
        <w:rPr>
          <w:sz w:val="20"/>
          <w:szCs w:val="20"/>
          <w:color w:val="auto"/>
        </w:rPr>
        <w:tab/>
      </w:r>
      <w:r>
        <w:rPr>
          <w:rFonts w:ascii="Arial" w:cs="Arial" w:eastAsia="Arial" w:hAnsi="Arial"/>
          <w:sz w:val="19"/>
          <w:szCs w:val="19"/>
          <w:color w:val="auto"/>
        </w:rPr>
        <w:t>With respect to the Purchase Contracts, when a Purchase Contract shall have been duly authorised and validly executed and delivered by the Company and other parties thereto, such Purchase Contract will be duly authorised, legal and binding obligations of the Company. With respect to the Unit Agreements and the Units, when (i) the board of directors of the Company has taken all necessary corporate action to approve the creation and terms of the Units and to approve the issue thereof, the terms of the offering thereof and related matters; and (ii) a Unit Agreement relating to the Units shall have been duly authorised and validly executed and delivered by the Company and other parties thereto; and (iii) the certificates representing the Units have been duly executed, countersigned, registered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2"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delivered in accordance with the Unit Agreement relating to the Units and the applicable definitive purchase, underwriting or similar agreement approved by the board of directors of the Company upon payment of the consideration therefor provided therein, the Unit Agreements and the Units issued thereunder will be duly authorised, legal and binding obligations of the Company.</w:t>
      </w:r>
    </w:p>
    <w:p>
      <w:pPr>
        <w:spacing w:after="0" w:line="138" w:lineRule="exact"/>
        <w:rPr>
          <w:sz w:val="20"/>
          <w:szCs w:val="20"/>
          <w:color w:val="auto"/>
        </w:rPr>
      </w:pPr>
    </w:p>
    <w:p>
      <w:pPr>
        <w:jc w:val="both"/>
        <w:ind w:left="720" w:hanging="647"/>
        <w:spacing w:after="0" w:line="253" w:lineRule="auto"/>
        <w:tabs>
          <w:tab w:leader="none" w:pos="700" w:val="left"/>
        </w:tabs>
        <w:rPr>
          <w:sz w:val="20"/>
          <w:szCs w:val="20"/>
          <w:color w:val="auto"/>
        </w:rPr>
      </w:pPr>
      <w:r>
        <w:rPr>
          <w:rFonts w:ascii="Arial" w:cs="Arial" w:eastAsia="Arial" w:hAnsi="Arial"/>
          <w:sz w:val="19"/>
          <w:szCs w:val="19"/>
          <w:color w:val="auto"/>
        </w:rPr>
        <w:t>3.10</w:t>
        <w:tab/>
        <w:t>With respect to the Unit Agreements and the Units, when (i) the board of directors of the Company has taken all necessary corporate action to approve the creation and terms of the Units and to approve the issue thereof, the terms of the offering thereof and related matters; (ii) a Unit Agreement relating to the Units shall have been duly authorised and validly executed and delivered by the Company and other parties thereto; and (iii) the certificates representing the Units have been duly executed, countersigned, registered and delivered in accordance with the Unit Agreement relating to the Units and the applicable definitive purchase, underwriting or similar agreement approved by the board of directors of the Company upon payment of the consideration therefor provided therein, the Unit Agreements and the Units issued thereunder will be duly authorised, legal and binding obligations of the Company.</w:t>
      </w:r>
    </w:p>
    <w:p>
      <w:pPr>
        <w:spacing w:after="0" w:line="142" w:lineRule="exact"/>
        <w:rPr>
          <w:sz w:val="20"/>
          <w:szCs w:val="20"/>
          <w:color w:val="auto"/>
        </w:rPr>
      </w:pPr>
    </w:p>
    <w:p>
      <w:pPr>
        <w:jc w:val="both"/>
        <w:ind w:left="720" w:hanging="647"/>
        <w:spacing w:after="0" w:line="254" w:lineRule="auto"/>
        <w:tabs>
          <w:tab w:leader="none" w:pos="700" w:val="left"/>
        </w:tabs>
        <w:rPr>
          <w:sz w:val="20"/>
          <w:szCs w:val="20"/>
          <w:color w:val="auto"/>
        </w:rPr>
      </w:pPr>
      <w:r>
        <w:rPr>
          <w:rFonts w:ascii="Arial" w:cs="Arial" w:eastAsia="Arial" w:hAnsi="Arial"/>
          <w:sz w:val="19"/>
          <w:szCs w:val="19"/>
          <w:color w:val="auto"/>
        </w:rPr>
        <w:t>3.11</w:t>
        <w:tab/>
        <w:t>With respect to any Shares to be resold by the selling shareholders as contemplated by the Registration Statement, when (a) the board of directors of the Company has taken all necessary corporate action to approve the issue thereof, the terms of the offering thereof and related matters; (b) the issue of such Shares have been recorded in the Company’s register of members; and (c) the subscription price of such Shares have been fully paid in cash or other consideration approved by the board of directors of the Company, such Shares will be duly authorised, validly issued, fully-paid and non-assessable. As a matter of British Virgin Islands law, a share is only issued when it has been entered in the register of members.</w:t>
      </w:r>
    </w:p>
    <w:p>
      <w:pPr>
        <w:spacing w:after="0" w:line="107"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Qualifications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The opinions expressed above are subject to the following qualifications:</w:t>
      </w:r>
    </w:p>
    <w:p>
      <w:pPr>
        <w:spacing w:after="0" w:line="173"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We have not reviewed the Agreements or the terms of the Securities (other than the Common Shares) and our opinions are qualified accordingly.</w:t>
      </w:r>
    </w:p>
    <w:p>
      <w:pPr>
        <w:spacing w:after="0" w:line="105"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The obligations assumed by the Company under the Agreements and the issuance of the Securities thereunder will not necessarily be enforceable in all circumstances in accordance with their terms. In particular:</w:t>
      </w:r>
    </w:p>
    <w:p>
      <w:pPr>
        <w:spacing w:after="0" w:line="118" w:lineRule="exact"/>
        <w:rPr>
          <w:sz w:val="20"/>
          <w:szCs w:val="20"/>
          <w:color w:val="auto"/>
        </w:rPr>
      </w:pPr>
    </w:p>
    <w:p>
      <w:pPr>
        <w:ind w:left="1300" w:hanging="644"/>
        <w:spacing w:after="0" w:line="276" w:lineRule="auto"/>
        <w:tabs>
          <w:tab w:leader="none" w:pos="12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enforcement may be limited by bankruptcy, insolvency, liquidation, reorganisation, readjustment of debts or moratorium or other laws of general application relating to or affecting the rights of creditors;</w:t>
      </w:r>
    </w:p>
    <w:p>
      <w:pPr>
        <w:spacing w:after="0" w:line="118" w:lineRule="exact"/>
        <w:rPr>
          <w:rFonts w:ascii="Arial" w:cs="Arial" w:eastAsia="Arial" w:hAnsi="Arial"/>
          <w:sz w:val="19"/>
          <w:szCs w:val="19"/>
          <w:color w:val="auto"/>
        </w:rPr>
      </w:pPr>
    </w:p>
    <w:p>
      <w:pPr>
        <w:ind w:left="1300" w:hanging="644"/>
        <w:spacing w:after="0" w:line="262" w:lineRule="auto"/>
        <w:tabs>
          <w:tab w:leader="none" w:pos="12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enforcement may be limited by general principles of equity. For example, equitable remedies such as specific performance may not be available, inter alia, where damages are considered to be an adequate remedy;</w:t>
      </w:r>
    </w:p>
    <w:p>
      <w:pPr>
        <w:spacing w:after="0" w:line="130" w:lineRule="exact"/>
        <w:rPr>
          <w:rFonts w:ascii="Arial" w:cs="Arial" w:eastAsia="Arial" w:hAnsi="Arial"/>
          <w:sz w:val="19"/>
          <w:szCs w:val="19"/>
          <w:color w:val="auto"/>
        </w:rPr>
      </w:pPr>
    </w:p>
    <w:p>
      <w:pPr>
        <w:ind w:left="1300" w:hanging="644"/>
        <w:spacing w:after="0" w:line="276" w:lineRule="auto"/>
        <w:tabs>
          <w:tab w:leader="none" w:pos="1291" w:val="left"/>
        </w:tabs>
        <w:numPr>
          <w:ilvl w:val="0"/>
          <w:numId w:val="84"/>
        </w:numPr>
        <w:rPr>
          <w:rFonts w:ascii="Arial" w:cs="Arial" w:eastAsia="Arial" w:hAnsi="Arial"/>
          <w:sz w:val="19"/>
          <w:szCs w:val="19"/>
          <w:color w:val="auto"/>
        </w:rPr>
      </w:pPr>
      <w:r>
        <w:rPr>
          <w:rFonts w:ascii="Arial" w:cs="Arial" w:eastAsia="Arial" w:hAnsi="Arial"/>
          <w:sz w:val="19"/>
          <w:szCs w:val="19"/>
          <w:color w:val="auto"/>
        </w:rPr>
        <w:t>some claims may become barred under relevant statutes of limitation or may be or become subject to defences of set off, counterclaim, estoppel and similar defences;</w:t>
      </w:r>
    </w:p>
    <w:p>
      <w:pPr>
        <w:spacing w:after="0" w:line="118" w:lineRule="exact"/>
        <w:rPr>
          <w:rFonts w:ascii="Arial" w:cs="Arial" w:eastAsia="Arial" w:hAnsi="Arial"/>
          <w:sz w:val="19"/>
          <w:szCs w:val="19"/>
          <w:color w:val="auto"/>
        </w:rPr>
      </w:pPr>
    </w:p>
    <w:p>
      <w:pPr>
        <w:ind w:left="1300" w:hanging="644"/>
        <w:spacing w:after="0" w:line="276" w:lineRule="auto"/>
        <w:tabs>
          <w:tab w:leader="none" w:pos="12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where obligations are to be performed in a jurisdiction outside the British Virgin Islands, they may not be enforceable in the British Virgin Islands to the extent that performance would be illegal under the laws of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2"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courts of the British Virgin Islands have jurisdiction to give judgment in the currency of the relevant obligation;</w:t>
      </w:r>
    </w:p>
    <w:p>
      <w:pPr>
        <w:spacing w:after="0" w:line="173" w:lineRule="exact"/>
        <w:rPr>
          <w:rFonts w:ascii="Arial" w:cs="Arial" w:eastAsia="Arial" w:hAnsi="Arial"/>
          <w:sz w:val="19"/>
          <w:szCs w:val="19"/>
          <w:color w:val="auto"/>
        </w:rPr>
      </w:pPr>
    </w:p>
    <w:p>
      <w:pPr>
        <w:ind w:left="1300" w:hanging="644"/>
        <w:spacing w:after="0"/>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arrangements that constitute penalties will not be enforceable;</w:t>
      </w:r>
    </w:p>
    <w:p>
      <w:pPr>
        <w:spacing w:after="0" w:line="173" w:lineRule="exact"/>
        <w:rPr>
          <w:rFonts w:ascii="Arial" w:cs="Arial" w:eastAsia="Arial" w:hAnsi="Arial"/>
          <w:sz w:val="19"/>
          <w:szCs w:val="19"/>
          <w:color w:val="auto"/>
        </w:rPr>
      </w:pPr>
    </w:p>
    <w:p>
      <w:pPr>
        <w:ind w:left="1300" w:hanging="644"/>
        <w:spacing w:after="0" w:line="262" w:lineRule="auto"/>
        <w:tabs>
          <w:tab w:leader="none" w:pos="1288" w:val="left"/>
        </w:tabs>
        <w:numPr>
          <w:ilvl w:val="0"/>
          <w:numId w:val="85"/>
        </w:numPr>
        <w:rPr>
          <w:rFonts w:ascii="Arial" w:cs="Arial" w:eastAsia="Arial" w:hAnsi="Arial"/>
          <w:sz w:val="19"/>
          <w:szCs w:val="19"/>
          <w:color w:val="auto"/>
        </w:rPr>
      </w:pPr>
      <w:r>
        <w:rPr>
          <w:rFonts w:ascii="Arial" w:cs="Arial" w:eastAsia="Arial" w:hAnsi="Arial"/>
          <w:sz w:val="19"/>
          <w:szCs w:val="19"/>
          <w:color w:val="auto"/>
        </w:rPr>
        <w:t>enforcement may be prevented by reason of fraud, coercion, duress, undue influence, misrepresentation, public policy or mistake or limited by the doctrine of frustration of contracts;</w:t>
      </w:r>
    </w:p>
    <w:p>
      <w:pPr>
        <w:spacing w:after="0" w:line="130" w:lineRule="exact"/>
        <w:rPr>
          <w:rFonts w:ascii="Arial" w:cs="Arial" w:eastAsia="Arial" w:hAnsi="Arial"/>
          <w:sz w:val="19"/>
          <w:szCs w:val="19"/>
          <w:color w:val="auto"/>
        </w:rPr>
      </w:pPr>
    </w:p>
    <w:p>
      <w:pPr>
        <w:ind w:left="1300" w:hanging="644"/>
        <w:spacing w:after="0" w:line="276" w:lineRule="auto"/>
        <w:tabs>
          <w:tab w:leader="none" w:pos="1288"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 agreement made by a person in the course of carrying on unauthorised financial services business is unenforceable against the other party under section 50F of the Financial Services Commission Act, 2001;</w:t>
      </w:r>
    </w:p>
    <w:p>
      <w:pPr>
        <w:spacing w:after="0" w:line="118" w:lineRule="exact"/>
        <w:rPr>
          <w:rFonts w:ascii="Arial" w:cs="Arial" w:eastAsia="Arial" w:hAnsi="Arial"/>
          <w:sz w:val="19"/>
          <w:szCs w:val="19"/>
          <w:color w:val="auto"/>
        </w:rPr>
      </w:pPr>
    </w:p>
    <w:p>
      <w:pPr>
        <w:ind w:left="1300" w:hanging="644"/>
        <w:spacing w:after="0" w:line="276" w:lineRule="auto"/>
        <w:tabs>
          <w:tab w:leader="none" w:pos="1292" w:val="left"/>
        </w:tabs>
        <w:numPr>
          <w:ilvl w:val="0"/>
          <w:numId w:val="85"/>
        </w:numPr>
        <w:rPr>
          <w:rFonts w:ascii="Arial" w:cs="Arial" w:eastAsia="Arial" w:hAnsi="Arial"/>
          <w:sz w:val="19"/>
          <w:szCs w:val="19"/>
          <w:color w:val="auto"/>
        </w:rPr>
      </w:pPr>
      <w:r>
        <w:rPr>
          <w:rFonts w:ascii="Arial" w:cs="Arial" w:eastAsia="Arial" w:hAnsi="Arial"/>
          <w:sz w:val="19"/>
          <w:szCs w:val="19"/>
          <w:color w:val="auto"/>
        </w:rPr>
        <w:t>provisions imposing confidentiality obligations may be overridden by compulsion of applicable law or the requirements of legal and/or regulatory process;</w:t>
      </w:r>
    </w:p>
    <w:p>
      <w:pPr>
        <w:spacing w:after="0" w:line="104" w:lineRule="exact"/>
        <w:rPr>
          <w:rFonts w:ascii="Arial" w:cs="Arial" w:eastAsia="Arial" w:hAnsi="Arial"/>
          <w:sz w:val="19"/>
          <w:szCs w:val="19"/>
          <w:color w:val="auto"/>
        </w:rPr>
      </w:pPr>
    </w:p>
    <w:p>
      <w:pPr>
        <w:jc w:val="both"/>
        <w:ind w:left="1300" w:hanging="644"/>
        <w:spacing w:after="0" w:line="264" w:lineRule="auto"/>
        <w:tabs>
          <w:tab w:leader="none" w:pos="129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courts of the British Virgin Islands may decline to exercise jurisdiction in relation to substantive proceedings brought under or in relation to the Agreements in matters where they determine that such proceedings may be tried in a more appropriate forum;</w:t>
      </w:r>
    </w:p>
    <w:p>
      <w:pPr>
        <w:spacing w:after="0" w:line="129" w:lineRule="exact"/>
        <w:rPr>
          <w:rFonts w:ascii="Arial" w:cs="Arial" w:eastAsia="Arial" w:hAnsi="Arial"/>
          <w:sz w:val="19"/>
          <w:szCs w:val="19"/>
          <w:color w:val="auto"/>
        </w:rPr>
      </w:pPr>
    </w:p>
    <w:p>
      <w:pPr>
        <w:ind w:left="1300" w:right="20" w:hanging="644"/>
        <w:spacing w:after="0" w:line="276" w:lineRule="auto"/>
        <w:tabs>
          <w:tab w:leader="none" w:pos="1291"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person who is not a party to an Agreement that is governed by British Virgin Islands law will not have the benefit of and will not be able to enforce its terms;</w:t>
      </w:r>
    </w:p>
    <w:p>
      <w:pPr>
        <w:spacing w:after="0" w:line="104" w:lineRule="exact"/>
        <w:rPr>
          <w:rFonts w:ascii="Arial" w:cs="Arial" w:eastAsia="Arial" w:hAnsi="Arial"/>
          <w:sz w:val="19"/>
          <w:szCs w:val="19"/>
          <w:color w:val="auto"/>
        </w:rPr>
      </w:pPr>
    </w:p>
    <w:p>
      <w:pPr>
        <w:ind w:left="1300" w:hanging="644"/>
        <w:spacing w:after="0" w:line="276" w:lineRule="auto"/>
        <w:tabs>
          <w:tab w:leader="none" w:pos="1292"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provision of an Agreement that is governed by British Virgin Islands law which expresses any matter to be determined by future agreement may be void or unenforceable;</w:t>
      </w:r>
    </w:p>
    <w:p>
      <w:pPr>
        <w:spacing w:after="0" w:line="118" w:lineRule="exact"/>
        <w:rPr>
          <w:rFonts w:ascii="Arial" w:cs="Arial" w:eastAsia="Arial" w:hAnsi="Arial"/>
          <w:sz w:val="19"/>
          <w:szCs w:val="19"/>
          <w:color w:val="auto"/>
        </w:rPr>
      </w:pPr>
    </w:p>
    <w:p>
      <w:pPr>
        <w:jc w:val="both"/>
        <w:ind w:left="1300" w:hanging="644"/>
        <w:spacing w:after="0" w:line="264" w:lineRule="auto"/>
        <w:tabs>
          <w:tab w:leader="none" w:pos="13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we reserve our opinion as to the enforceability of the relevant provisions of an Agreement to the extent that it purports to grant exclusive jurisdiction as there may be circumstances in which the courts of the British Virgin Islands would accept jurisdiction notwithstanding such provisions; and</w:t>
      </w:r>
    </w:p>
    <w:p>
      <w:pPr>
        <w:spacing w:after="0" w:line="115" w:lineRule="exact"/>
        <w:rPr>
          <w:rFonts w:ascii="Arial" w:cs="Arial" w:eastAsia="Arial" w:hAnsi="Arial"/>
          <w:sz w:val="19"/>
          <w:szCs w:val="19"/>
          <w:color w:val="auto"/>
        </w:rPr>
      </w:pPr>
    </w:p>
    <w:p>
      <w:pPr>
        <w:jc w:val="both"/>
        <w:ind w:left="1300" w:hanging="644"/>
        <w:spacing w:after="0" w:line="258" w:lineRule="auto"/>
        <w:tabs>
          <w:tab w:leader="none" w:pos="1288"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company cannot, by agreement or in its articles of association, restrict the exercise of a statutory power and there is doubt as to the enforceability of any provision in the Agreements whereby the Company covenants to restrict the exercise of powers specifically given to it under the Act including, without limitation, the power to increase its maximum number of shares, amend its memorandum and articles of association or present a petition to a British Virgin Islands court for an order to wind up the Company.</w:t>
      </w:r>
    </w:p>
    <w:p>
      <w:pPr>
        <w:spacing w:after="0" w:line="122"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8"/>
          <w:szCs w:val="18"/>
          <w:color w:val="auto"/>
        </w:rPr>
        <w:t>Applicable court fees will be payable in respect of enforcement of the Agreements.</w:t>
      </w:r>
    </w:p>
    <w:p>
      <w:pPr>
        <w:spacing w:after="0" w:line="173"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To maintain the Company in good standing with the Registrar of Corporate Affairs under the laws of the British Virgin Islands, annual filing fees must be paid and returns made to the Registrar of Corporate Affairs within the time frame prescribed by law.</w:t>
      </w:r>
    </w:p>
    <w:p>
      <w:pPr>
        <w:spacing w:after="0" w:line="118"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Preferred creditors under British Virgin Islands law will rank ahead of unsecured creditors of the Company. Furthermore, all costs, charges and expenses properly incurred in the winding up of a company, including the remuneration of the liquidators, are payable out of the assets of the company in priority to all other unsecured claims.</w:t>
      </w:r>
    </w:p>
    <w:p>
      <w:pPr>
        <w:spacing w:after="0" w:line="135"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9"/>
          <w:szCs w:val="19"/>
          <w:color w:val="auto"/>
        </w:rPr>
        <w:t>The obligations of the Company may be subject to restrictions pursuant to United Nations and United Kingdom sanctions extended to the British Virgin Islands by Orders in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2" w:lineRule="exact"/>
        <w:rPr>
          <w:sz w:val="20"/>
          <w:szCs w:val="20"/>
          <w:color w:val="auto"/>
        </w:rPr>
      </w:pPr>
    </w:p>
    <w:p>
      <w:pPr>
        <w:ind w:left="660" w:right="20"/>
        <w:spacing w:after="0" w:line="276" w:lineRule="auto"/>
        <w:rPr>
          <w:sz w:val="20"/>
          <w:szCs w:val="20"/>
          <w:color w:val="auto"/>
        </w:rPr>
      </w:pPr>
      <w:r>
        <w:rPr>
          <w:rFonts w:ascii="Arial" w:cs="Arial" w:eastAsia="Arial" w:hAnsi="Arial"/>
          <w:sz w:val="19"/>
          <w:szCs w:val="19"/>
          <w:color w:val="auto"/>
        </w:rPr>
        <w:t>and/or sanctions imposed by governmental or regulatory authorities or agencies in the British Virgin Islands under British Virgin Islands legislation.</w:t>
      </w:r>
    </w:p>
    <w:p>
      <w:pPr>
        <w:spacing w:after="0" w:line="118"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color w:val="auto"/>
        </w:rPr>
        <w:t>A certificate, determination, calculation or designation of any party to an Agreement as to any matter provided therein might be held by a British Virgin Islands court not to be conclusive final and binding if, for example, it could be shown to have an unreasonable or arbitrary basis, or in the event of manifest error</w:t>
      </w:r>
    </w:p>
    <w:p>
      <w:pPr>
        <w:spacing w:after="0" w:line="135"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9"/>
          <w:szCs w:val="19"/>
          <w:color w:val="auto"/>
        </w:rPr>
        <w:t>We reserve our opinion as to the extent to which the courts of the British Virgin Islands would, in the event of any relevant illegality or invalidity, sever the relevant provisions of an Agreement and enforce the remainder of the Agreement or the transaction of which such provisions form a part, notwithstanding any express provisions in an Agreement in this regard.</w:t>
      </w:r>
    </w:p>
    <w:p>
      <w:pPr>
        <w:spacing w:after="0" w:line="116" w:lineRule="exact"/>
        <w:rPr>
          <w:sz w:val="20"/>
          <w:szCs w:val="20"/>
          <w:color w:val="auto"/>
        </w:rPr>
      </w:pPr>
    </w:p>
    <w:p>
      <w:pPr>
        <w:jc w:val="both"/>
        <w:ind w:left="640" w:right="20" w:hanging="647"/>
        <w:spacing w:after="0" w:line="276" w:lineRule="auto"/>
        <w:tabs>
          <w:tab w:leader="none" w:pos="62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9"/>
          <w:szCs w:val="19"/>
          <w:color w:val="auto"/>
        </w:rPr>
        <w:t>We express no opinion as to the meaning, validity or effect of any references to foreign (i.e. non-British Virgin Islands) statutes, rules, regulations, codes, judicial authority or any other promulgations and any references to them in an Agreement.</w:t>
      </w:r>
    </w:p>
    <w:p>
      <w:pPr>
        <w:spacing w:after="0" w:line="112"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19"/>
          <w:szCs w:val="19"/>
          <w:color w:val="auto"/>
        </w:rPr>
        <w:t>4.10</w:t>
        <w:tab/>
        <w:t xml:space="preserve">Under British Virgin Islands law, the register of members is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title to shares and this register would not record a third party interest in such shares.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British Virgin Islands court.</w:t>
      </w:r>
    </w:p>
    <w:p>
      <w:pPr>
        <w:spacing w:after="0" w:line="127"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19"/>
          <w:szCs w:val="19"/>
          <w:color w:val="auto"/>
        </w:rPr>
        <w:t>4.11</w:t>
        <w:tab/>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22"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19"/>
          <w:szCs w:val="19"/>
          <w:color w:val="auto"/>
        </w:rPr>
        <w:t>4.12</w:t>
        <w:tab/>
        <w:t>We express no view as to the commercial terms of the Securities or the Agreements or whether such terms represent the intentions of the parties and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 to our firm under the heading “Validity of Securities” in the prospectus included in the Registration Statement. In providing our consent, we do not thereby admit that we are in the category of persons whose consent is required under Section 7 of the SEC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This opinion is addressed to you and may be relied upon by you, your counsel and purchasers of Securities pursuant to the Registration Statement. This opinion is limited to the matters detailed herein and is not to be read as an opinion with respect to any other matter.</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/s/ Maples and Calder</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Sullivan &amp; Cromwell LLP]</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October 2, 2023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Biohaven Ltd.,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 Biohaven Pharmaceuticals, Inc.,</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215 Church Street,</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New Haven, Connecticut 06510.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In connection with the registration under the Securities Act of 1933 (the “Act”) of (i) common shares, no par value (the “Common Shares”), of Biohaven Ltd., a company formed under the laws of the British Virgin Islands (the “Company”), (ii) preferred shares, no par value (the “Preferred Shares”), of the Company, (iii) depositary shares or depositary receipts representing Preferred Shares (the “Depositary Shares”), (iv) debt securities (the “Debt Securities”) of the Company, (v) warrants (the “Warrants”) of the Company to purchase Debt Securities, Common Shares or Preferred Shares of the Company, (vi) rights (the “Rights”) to purchase Securities (as defined below) of the Company, (vii) purchase contracts (the “Purchase Contracts”) of the Company with respect to Securities of the Company or securities of an unaffiliated entity, and (viii) units (the “Units,” and, together with the Common Shares, the Preferred Shares, the Depositary Shares, the Debt Securities, the Warrants, the Rights and the Purchase Contracts, the “Securities”) of the Company comprised of Securities, pursuant to a Registration Statement on Form S-3 (as amended from time to time, the “Registration Statement”), we, as your counsel, have examined such corporate records, certificates and other documents, and such questions of law, as we have considered necessary or appropriate for the purposes of this opinion.</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Upon the basis of such examination, it is our opinion that:</w:t>
      </w:r>
    </w:p>
    <w:p>
      <w:pPr>
        <w:spacing w:after="0" w:line="220" w:lineRule="exact"/>
        <w:rPr>
          <w:sz w:val="20"/>
          <w:szCs w:val="20"/>
          <w:color w:val="auto"/>
        </w:rPr>
      </w:pPr>
    </w:p>
    <w:p>
      <w:pPr>
        <w:jc w:val="both"/>
        <w:ind w:firstLine="1304"/>
        <w:spacing w:after="0" w:line="291" w:lineRule="auto"/>
        <w:tabs>
          <w:tab w:leader="none" w:pos="1827" w:val="left"/>
        </w:tabs>
        <w:numPr>
          <w:ilvl w:val="0"/>
          <w:numId w:val="86"/>
        </w:numPr>
        <w:rPr>
          <w:rFonts w:ascii="Arial" w:cs="Arial" w:eastAsia="Arial" w:hAnsi="Arial"/>
          <w:sz w:val="19"/>
          <w:szCs w:val="19"/>
          <w:color w:val="auto"/>
        </w:rPr>
      </w:pPr>
      <w:r>
        <w:rPr>
          <w:rFonts w:ascii="Arial" w:cs="Arial" w:eastAsia="Arial" w:hAnsi="Arial"/>
          <w:sz w:val="19"/>
          <w:szCs w:val="19"/>
          <w:color w:val="auto"/>
        </w:rPr>
        <w:t>When the Registration Statement has become effective under the Act, the deposit agreements governed by the laws of the State of New York (each, a “Deposit Agreement”) between the Company and the entities selected as depositary (each, a “Depositary”) relating to the relevant Depositary Shares have been duly authorized, executed, and delivered, the terms of the Depositary Shares and of their issuance and sale have been duly established in conformity with the Deposit Agreement and applicable law, the Company has deposited Preferred Shares with the Depositary to be represented by such Depositary Shares that are authorized, validly issued, and fully paid, and the Depositary Shares have been duly authorized, executed and authenticated in accordance with the Deposit Agreement and issued and sold as contemplated in the Registration Statement, the basic prospectus included therein and the appropriate prospectus supplement or supplements, the Depositary Shares will constitute valid and legally binding obligations of the Company and will entitle the persons in whose names such</w:t>
      </w:r>
    </w:p>
    <w:p>
      <w:pPr>
        <w:sectPr>
          <w:pgSz w:w="11900" w:h="16838" w:orient="portrait"/>
          <w:cols w:equalWidth="0" w:num="1">
            <w:col w:w="11240"/>
          </w:cols>
          <w:pgMar w:left="320" w:top="108" w:right="33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78"/>
        </w:trPr>
        <w:tc>
          <w:tcPr>
            <w:tcW w:w="6060" w:type="dxa"/>
            <w:vAlign w:val="bottom"/>
          </w:tcPr>
          <w:p>
            <w:pPr>
              <w:spacing w:after="0"/>
              <w:rPr>
                <w:sz w:val="20"/>
                <w:szCs w:val="20"/>
                <w:color w:val="auto"/>
              </w:rPr>
            </w:pPr>
            <w:r>
              <w:rPr>
                <w:rFonts w:ascii="Arial" w:cs="Arial" w:eastAsia="Arial" w:hAnsi="Arial"/>
                <w:sz w:val="22"/>
                <w:szCs w:val="22"/>
                <w:color w:val="auto"/>
              </w:rPr>
              <w:t>Biohaven Ltd.</w:t>
            </w:r>
          </w:p>
        </w:tc>
        <w:tc>
          <w:tcPr>
            <w:tcW w:w="5140" w:type="dxa"/>
            <w:vAlign w:val="bottom"/>
          </w:tcPr>
          <w:p>
            <w:pPr>
              <w:jc w:val="right"/>
              <w:spacing w:after="0"/>
              <w:rPr>
                <w:sz w:val="20"/>
                <w:szCs w:val="20"/>
                <w:color w:val="auto"/>
              </w:rPr>
            </w:pPr>
            <w:r>
              <w:rPr>
                <w:rFonts w:ascii="Arial" w:cs="Arial" w:eastAsia="Arial" w:hAnsi="Arial"/>
                <w:sz w:val="18"/>
                <w:szCs w:val="18"/>
                <w:color w:val="auto"/>
              </w:rPr>
              <w:t>- 2 -</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Depositary Shares are registered to the rights specified therein and in the Deposit Agreement, subject to bankruptcy, insolvency, fraudulent transfer, reorganization, moratorium and similar laws of general applicability relating to or affecting creditors’ rights and to general equity principles.</w:t>
      </w:r>
    </w:p>
    <w:p>
      <w:pPr>
        <w:spacing w:after="0" w:line="199" w:lineRule="exact"/>
        <w:rPr>
          <w:sz w:val="20"/>
          <w:szCs w:val="20"/>
          <w:color w:val="auto"/>
        </w:rPr>
      </w:pPr>
    </w:p>
    <w:p>
      <w:pPr>
        <w:jc w:val="both"/>
        <w:ind w:firstLine="1304"/>
        <w:spacing w:after="0" w:line="260" w:lineRule="auto"/>
        <w:tabs>
          <w:tab w:leader="none" w:pos="1767" w:val="left"/>
        </w:tabs>
        <w:numPr>
          <w:ilvl w:val="0"/>
          <w:numId w:val="87"/>
        </w:numPr>
        <w:rPr>
          <w:rFonts w:ascii="Arial" w:cs="Arial" w:eastAsia="Arial" w:hAnsi="Arial"/>
          <w:sz w:val="21"/>
          <w:szCs w:val="21"/>
          <w:color w:val="auto"/>
        </w:rPr>
      </w:pPr>
      <w:r>
        <w:rPr>
          <w:rFonts w:ascii="Arial" w:cs="Arial" w:eastAsia="Arial" w:hAnsi="Arial"/>
          <w:sz w:val="21"/>
          <w:szCs w:val="21"/>
          <w:color w:val="auto"/>
        </w:rPr>
        <w:t>When the Registration Statement has become effective under the Act, the indenture (the “Indenture”) relating to the relevant Debt Securities has been duly executed and delivered, the terms of the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 or restriction imposed by any court or governmental body having jurisdiction over the Company, and the Debt Securities have been duly authorized, executed and authenticated in accordance with the Indenture and issued and sold as contemplated in the Registration Statement, the basic prospectus included therein and the appropriate prospectus supplement or supplements, the Debt Securities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78" w:lineRule="exact"/>
        <w:rPr>
          <w:rFonts w:ascii="Arial" w:cs="Arial" w:eastAsia="Arial" w:hAnsi="Arial"/>
          <w:sz w:val="21"/>
          <w:szCs w:val="21"/>
          <w:color w:val="auto"/>
        </w:rPr>
      </w:pPr>
    </w:p>
    <w:p>
      <w:pPr>
        <w:jc w:val="both"/>
        <w:ind w:firstLine="1304"/>
        <w:spacing w:after="0" w:line="291" w:lineRule="auto"/>
        <w:tabs>
          <w:tab w:leader="none" w:pos="1843" w:val="left"/>
        </w:tabs>
        <w:numPr>
          <w:ilvl w:val="0"/>
          <w:numId w:val="87"/>
        </w:numPr>
        <w:rPr>
          <w:rFonts w:ascii="Arial" w:cs="Arial" w:eastAsia="Arial" w:hAnsi="Arial"/>
          <w:sz w:val="19"/>
          <w:szCs w:val="19"/>
          <w:color w:val="auto"/>
        </w:rPr>
      </w:pPr>
      <w:r>
        <w:rPr>
          <w:rFonts w:ascii="Arial" w:cs="Arial" w:eastAsia="Arial" w:hAnsi="Arial"/>
          <w:sz w:val="19"/>
          <w:szCs w:val="19"/>
          <w:color w:val="auto"/>
        </w:rPr>
        <w:t>When the Registration Statement has become effective under the Act, the terms of the warrant agreement under which the Warrants are to be issued (the “Warrant Agreement”) have been duly established and the Warrant Agreement has been duly authorized, executed and delivered by the parties thereto, the terms of the Warrants and of their issuance and sale have been duly established in conformity with the Warrant Agreement and the Warrants have been duly executed and authenticated in accordance with the Warrant Agreement and issued and sold as contemplated by the Registration Statement, and if all the foregoing actions are taken so as not to violate any applicable law or result in a default under or breach of any agreement or instrument binding upon the Company and so as to comply with any requirement or restriction imposed by any court or governmental body having jurisdiction over the Company, the Warrants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58" w:lineRule="exact"/>
        <w:rPr>
          <w:rFonts w:ascii="Arial" w:cs="Arial" w:eastAsia="Arial" w:hAnsi="Arial"/>
          <w:sz w:val="19"/>
          <w:szCs w:val="19"/>
          <w:color w:val="auto"/>
        </w:rPr>
      </w:pPr>
    </w:p>
    <w:p>
      <w:pPr>
        <w:jc w:val="both"/>
        <w:ind w:firstLine="1304"/>
        <w:spacing w:after="0" w:line="294" w:lineRule="auto"/>
        <w:tabs>
          <w:tab w:leader="none" w:pos="180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Assuming that the Board of Directors of the Company, after fully informing itself with respect to the rights agreement under which the Rights are to be issued (the “Rights Agreement”) and the Rights and after giving due consideration to all relevant matters, determined that the execution and delivery of the Rights Agreement and the issuance of the Rights thereunder would be in the best interests of the Company and its stockholders, and assuming further that the Rights Agreement has been duly authorized, executed and delivered by the parties to the Rights Agreement, then when the Registration Statement has become effective under the Act and the Securities have been validly issued and sold as contemplated by the Registration Statement, the Rights attributable to the Securities will be validly issued.</w:t>
      </w:r>
    </w:p>
    <w:p>
      <w:pPr>
        <w:spacing w:after="0" w:line="164" w:lineRule="exact"/>
        <w:rPr>
          <w:rFonts w:ascii="Arial" w:cs="Arial" w:eastAsia="Arial" w:hAnsi="Arial"/>
          <w:sz w:val="19"/>
          <w:szCs w:val="19"/>
          <w:color w:val="auto"/>
        </w:rPr>
      </w:pPr>
    </w:p>
    <w:p>
      <w:pPr>
        <w:ind w:firstLine="1304"/>
        <w:spacing w:after="0" w:line="263" w:lineRule="auto"/>
        <w:tabs>
          <w:tab w:leader="none" w:pos="1775" w:val="left"/>
        </w:tabs>
        <w:numPr>
          <w:ilvl w:val="0"/>
          <w:numId w:val="87"/>
        </w:numPr>
        <w:rPr>
          <w:rFonts w:ascii="Arial" w:cs="Arial" w:eastAsia="Arial" w:hAnsi="Arial"/>
          <w:sz w:val="22"/>
          <w:szCs w:val="22"/>
          <w:color w:val="auto"/>
        </w:rPr>
      </w:pPr>
      <w:r>
        <w:rPr>
          <w:rFonts w:ascii="Arial" w:cs="Arial" w:eastAsia="Arial" w:hAnsi="Arial"/>
          <w:sz w:val="22"/>
          <w:szCs w:val="22"/>
          <w:color w:val="auto"/>
        </w:rPr>
        <w:t>When the Registration Statement has become effective under the Act, the terms of the governing instruments or agreements under which the Purchase Contracts are to be</w:t>
      </w:r>
    </w:p>
    <w:p>
      <w:pPr>
        <w:sectPr>
          <w:pgSz w:w="11900" w:h="16838" w:orient="portrait"/>
          <w:cols w:equalWidth="0" w:num="1">
            <w:col w:w="11240"/>
          </w:cols>
          <w:pgMar w:left="320" w:top="402" w:right="339" w:bottom="144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278"/>
        </w:trPr>
        <w:tc>
          <w:tcPr>
            <w:tcW w:w="6060" w:type="dxa"/>
            <w:vAlign w:val="bottom"/>
          </w:tcPr>
          <w:p>
            <w:pPr>
              <w:spacing w:after="0"/>
              <w:rPr>
                <w:sz w:val="20"/>
                <w:szCs w:val="20"/>
                <w:color w:val="auto"/>
              </w:rPr>
            </w:pPr>
            <w:r>
              <w:rPr>
                <w:rFonts w:ascii="Arial" w:cs="Arial" w:eastAsia="Arial" w:hAnsi="Arial"/>
                <w:sz w:val="22"/>
                <w:szCs w:val="22"/>
                <w:color w:val="auto"/>
              </w:rPr>
              <w:t>Biohaven Ltd.</w:t>
            </w:r>
          </w:p>
        </w:tc>
        <w:tc>
          <w:tcPr>
            <w:tcW w:w="5140" w:type="dxa"/>
            <w:vAlign w:val="bottom"/>
          </w:tcPr>
          <w:p>
            <w:pPr>
              <w:jc w:val="right"/>
              <w:spacing w:after="0"/>
              <w:rPr>
                <w:sz w:val="20"/>
                <w:szCs w:val="20"/>
                <w:color w:val="auto"/>
              </w:rPr>
            </w:pPr>
            <w:r>
              <w:rPr>
                <w:rFonts w:ascii="Arial" w:cs="Arial" w:eastAsia="Arial" w:hAnsi="Arial"/>
                <w:sz w:val="18"/>
                <w:szCs w:val="18"/>
                <w:color w:val="auto"/>
              </w:rPr>
              <w:t>- 3 -</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issued have been duly established and such governing documents have been duly executed and delivered by the parties thereto, the terms of such Purchase Contracts and of their issuance and sale have been duly established in conformity with the applicable governing documents and such Purchase Contracts have been duly executed and authenticated in accordance with the applicable governing documents and issued and sold as contemplated in the Registration Statement, and if all the foregoing actions are taken so as not to violate any applicable law or result in a default under or breach of any agreement or instrument binding upon the Company and so as to comply with any requirement or restriction imposed by any court or governmental body having jurisdiction over the Company, such Purchase Contracts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51" w:lineRule="exact"/>
        <w:rPr>
          <w:sz w:val="20"/>
          <w:szCs w:val="20"/>
          <w:color w:val="auto"/>
        </w:rPr>
      </w:pPr>
    </w:p>
    <w:p>
      <w:pPr>
        <w:jc w:val="both"/>
        <w:ind w:firstLine="1304"/>
        <w:spacing w:after="0" w:line="290" w:lineRule="auto"/>
        <w:tabs>
          <w:tab w:leader="none" w:pos="1794" w:val="left"/>
        </w:tabs>
        <w:numPr>
          <w:ilvl w:val="0"/>
          <w:numId w:val="88"/>
        </w:numPr>
        <w:rPr>
          <w:rFonts w:ascii="Arial" w:cs="Arial" w:eastAsia="Arial" w:hAnsi="Arial"/>
          <w:sz w:val="19"/>
          <w:szCs w:val="19"/>
          <w:color w:val="auto"/>
        </w:rPr>
      </w:pPr>
      <w:r>
        <w:rPr>
          <w:rFonts w:ascii="Arial" w:cs="Arial" w:eastAsia="Arial" w:hAnsi="Arial"/>
          <w:sz w:val="19"/>
          <w:szCs w:val="19"/>
          <w:color w:val="auto"/>
        </w:rPr>
        <w:t>When the Registration Statement has become effective under the Act, the terms of the unit agreement under which the Units are to be issued (the “Unit Agreement”) have been duly established and the Unit Agreement has been duly executed and delivered by the parties thereto, the terms of the Units and of their issuance and sale have been duly established in conformity with the Unit Agreement and the Units have been duly executed and authenticated in accordance with the Unit Agreement and issued and sold as contemplated in the Registration Statement, and if all the foregoing actions are taken so as not to violate any applicable law or result in a default under or breach of any agreement or instrument binding upon the Company and so as to comply with any requirement or restriction imposed by any court or governmental body having jurisdiction over the Company, the Units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200" w:lineRule="exact"/>
        <w:rPr>
          <w:sz w:val="20"/>
          <w:szCs w:val="20"/>
          <w:color w:val="auto"/>
        </w:rPr>
      </w:pPr>
    </w:p>
    <w:p>
      <w:pPr>
        <w:spacing w:after="0" w:line="23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In connection with our opinion set forth in paragraph (4) above, we note that the question whether the Board of Directors of the Company might be required to redeem the Rights at some future time will depend upon the facts and circumstances existing at that time and, accordingly, is beyond the scope of such opinion.</w:t>
      </w:r>
    </w:p>
    <w:p>
      <w:pPr>
        <w:spacing w:after="0" w:line="185" w:lineRule="exact"/>
        <w:rPr>
          <w:sz w:val="20"/>
          <w:szCs w:val="20"/>
          <w:color w:val="auto"/>
        </w:rPr>
      </w:pPr>
    </w:p>
    <w:p>
      <w:pPr>
        <w:jc w:val="both"/>
        <w:ind w:firstLine="1296"/>
        <w:spacing w:after="0" w:line="319" w:lineRule="auto"/>
        <w:rPr>
          <w:sz w:val="20"/>
          <w:szCs w:val="20"/>
          <w:color w:val="auto"/>
        </w:rPr>
      </w:pPr>
      <w:r>
        <w:rPr>
          <w:rFonts w:ascii="Arial" w:cs="Arial" w:eastAsia="Arial" w:hAnsi="Arial"/>
          <w:sz w:val="19"/>
          <w:szCs w:val="19"/>
          <w:color w:val="auto"/>
        </w:rPr>
        <w:t>In connection with our opinion set forth in paragraphs (1) through (6) above, we have assumed that at the time of the issuance, sale and delivery of each particular Security, the authorization of the series will not have been modified or rescinded and, with respect to each Security, that such Security will conform to the draft forms of the Securities examined by us.</w:t>
      </w:r>
    </w:p>
    <w:p>
      <w:pPr>
        <w:spacing w:after="0" w:line="12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In connection with our opinion set forth in paragraphs (1) through (6) above, we have assumed that at the time of the issuance, sale and delivery of each particular Security there will not have occurred any change in law affecting the validity, legally binding character or enforceability of such Security and that the issuance, sale and delivery of such Security, all of the terms of such Security and the performance by the Company of its obligations thereunder will comply with applicable law and with each requirement or restriction imposed by any court or governmental body having jurisdiction over the Company and will not result in a default under or a breach of any agreement or instrument then binding upon the Company.</w:t>
      </w:r>
    </w:p>
    <w:p>
      <w:pPr>
        <w:sectPr>
          <w:pgSz w:w="11900" w:h="16838" w:orient="portrait"/>
          <w:cols w:equalWidth="0" w:num="1">
            <w:col w:w="11240"/>
          </w:cols>
          <w:pgMar w:left="320" w:top="402" w:right="339" w:bottom="1440" w:gutter="0" w:footer="0" w:header="0"/>
        </w:sectPr>
      </w:pPr>
    </w:p>
    <w:bookmarkStart w:id="118" w:name="page119"/>
    <w:bookmarkEnd w:id="118"/>
    <w:tbl>
      <w:tblPr>
        <w:tblLayout w:type="fixed"/>
        <w:tblInd w:w="20" w:type="dxa"/>
        <w:tblCellMar>
          <w:top w:w="0" w:type="dxa"/>
          <w:left w:w="0" w:type="dxa"/>
          <w:bottom w:w="0" w:type="dxa"/>
          <w:right w:w="0" w:type="dxa"/>
        </w:tblCellMar>
      </w:tblPr>
      <w:tr>
        <w:trPr>
          <w:trHeight w:val="278"/>
        </w:trPr>
        <w:tc>
          <w:tcPr>
            <w:tcW w:w="6060" w:type="dxa"/>
            <w:vAlign w:val="bottom"/>
          </w:tcPr>
          <w:p>
            <w:pPr>
              <w:spacing w:after="0"/>
              <w:rPr>
                <w:sz w:val="20"/>
                <w:szCs w:val="20"/>
                <w:color w:val="auto"/>
              </w:rPr>
            </w:pPr>
            <w:r>
              <w:rPr>
                <w:rFonts w:ascii="Arial" w:cs="Arial" w:eastAsia="Arial" w:hAnsi="Arial"/>
                <w:sz w:val="22"/>
                <w:szCs w:val="22"/>
                <w:color w:val="auto"/>
              </w:rPr>
              <w:t>Biohaven Ltd.</w:t>
            </w:r>
          </w:p>
        </w:tc>
        <w:tc>
          <w:tcPr>
            <w:tcW w:w="5140" w:type="dxa"/>
            <w:vAlign w:val="bottom"/>
          </w:tcPr>
          <w:p>
            <w:pPr>
              <w:jc w:val="right"/>
              <w:spacing w:after="0"/>
              <w:rPr>
                <w:sz w:val="20"/>
                <w:szCs w:val="20"/>
                <w:color w:val="auto"/>
              </w:rPr>
            </w:pPr>
            <w:r>
              <w:rPr>
                <w:rFonts w:ascii="Arial" w:cs="Arial" w:eastAsia="Arial" w:hAnsi="Arial"/>
                <w:sz w:val="18"/>
                <w:szCs w:val="18"/>
                <w:color w:val="auto"/>
              </w:rPr>
              <w:t>- 4 -</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1296"/>
        <w:spacing w:after="0" w:line="307" w:lineRule="auto"/>
        <w:rPr>
          <w:sz w:val="20"/>
          <w:szCs w:val="20"/>
          <w:color w:val="auto"/>
        </w:rPr>
      </w:pPr>
      <w:r>
        <w:rPr>
          <w:rFonts w:ascii="Arial" w:cs="Arial" w:eastAsia="Arial" w:hAnsi="Arial"/>
          <w:sz w:val="19"/>
          <w:szCs w:val="19"/>
          <w:color w:val="auto"/>
        </w:rPr>
        <w:t>In connection with our opinion set forth in paragraphs (1) through (6) above, we have assumed with respect to each particular Security that the inclusion of any alternative or additional terms in such Security that are not currently specified in the draft forms of Securities examined by us would not require the Company to obtain any regulatory consent, authorization or approval or make any regulatory filing in order for the Company to issue, sell and deliver such Security.</w:t>
      </w:r>
    </w:p>
    <w:p>
      <w:pPr>
        <w:spacing w:after="0" w:line="13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We further note that, as of the date of this opinion, a judgment for money in an action based on a Security denominated in a foreign currency or currency unit in a Federal or state court in the United States ordinarily would be enforced in the United States only in United States dollars. The date used to determine the rate of conversion of the foreign currency or currency unit in which a particular Security is denominated into United States dollars will depend upon various factors, including which court renders the judgment. Under Section 27 of the New York Judiciary Law, a state court in the State of New York rendering a judgment on such a Security would be required to render such judgment in the foreign currency or currency unit in which the Security is denominated, and such judgment would be converted into United States dollars at the exchange rate prevailing on the date of entry of the judgment.</w:t>
      </w:r>
    </w:p>
    <w:p>
      <w:pPr>
        <w:spacing w:after="0" w:line="181"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The foregoing opinion is limited to the Federal laws of the United States and the laws of the State of New York, and we are expressing no opinion as to the effect of the laws of any other jurisdiction. In rendering the foregoing opinion, we have assumed, without independent verification, that the Company has been duly formed and is an existing company in good standing under the laws of the British Virgin Islands, that each Security and each governing document under which the Securities are to be issued was or will be duly authorized in accordance with the laws of the British Virgin Islands, duly executed and delivered by the Company insofar as the laws of the British Virgin Islands are concerned and that all corporate action by the Company related to the Securities was or will be duly authorized as a matter of British Virgin Islands law. With respect to all matters of British Virgin Islands law, we note that you have received the opinion, dated the date hereof, of Maples &amp; Calder.</w:t>
      </w:r>
    </w:p>
    <w:p>
      <w:pPr>
        <w:spacing w:after="0" w:line="154"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In rendering the foregoing opinion, we are expressing no opinion as to Federal or state laws relating to fraudulent transfers and we are not passing upon, and assume no responsibility for, any disclosure in the Registration Statement or any related prospectus or other offering material regarding the Company, the Securities or their offering and sale.</w:t>
      </w:r>
    </w:p>
    <w:p>
      <w:pPr>
        <w:spacing w:after="0" w:line="13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We have relied as to certain factual matters on information obtained from public officials, officers of the Company and other sources believed by us to be responsible, and we have assumed that the Securities and the governing documents under which the Securities are to be issued will have been duly authorized, executed and delivered by all parties thereto other than the Company and that the signatures on documents examined by us are genuine. We have further assumed that the issuance or delivery by the Company of any securities other than the Securities, or of any property, upon exercise or otherwise pursuant to the terms of the Securities will be effected so as not to violate any applicable law or result in a default under or breach of any agreement or instrument binding on the Company and so as to comply with any requirement or restriction imposed by any court or governmental body having jurisdiction over the Company.</w:t>
      </w:r>
    </w:p>
    <w:p>
      <w:pPr>
        <w:sectPr>
          <w:pgSz w:w="11900" w:h="16838" w:orient="portrait"/>
          <w:cols w:equalWidth="0" w:num="1">
            <w:col w:w="11240"/>
          </w:cols>
          <w:pgMar w:left="320" w:top="402" w:right="339" w:bottom="1440" w:gutter="0" w:footer="0" w:header="0"/>
        </w:sectPr>
      </w:pPr>
    </w:p>
    <w:bookmarkStart w:id="119" w:name="page120"/>
    <w:bookmarkEnd w:id="119"/>
    <w:tbl>
      <w:tblPr>
        <w:tblLayout w:type="fixed"/>
        <w:tblInd w:w="20" w:type="dxa"/>
        <w:tblCellMar>
          <w:top w:w="0" w:type="dxa"/>
          <w:left w:w="0" w:type="dxa"/>
          <w:bottom w:w="0" w:type="dxa"/>
          <w:right w:w="0" w:type="dxa"/>
        </w:tblCellMar>
      </w:tblPr>
      <w:tr>
        <w:trPr>
          <w:trHeight w:val="278"/>
        </w:trPr>
        <w:tc>
          <w:tcPr>
            <w:tcW w:w="6060" w:type="dxa"/>
            <w:vAlign w:val="bottom"/>
          </w:tcPr>
          <w:p>
            <w:pPr>
              <w:spacing w:after="0"/>
              <w:rPr>
                <w:sz w:val="20"/>
                <w:szCs w:val="20"/>
                <w:color w:val="auto"/>
              </w:rPr>
            </w:pPr>
            <w:r>
              <w:rPr>
                <w:rFonts w:ascii="Arial" w:cs="Arial" w:eastAsia="Arial" w:hAnsi="Arial"/>
                <w:sz w:val="22"/>
                <w:szCs w:val="22"/>
                <w:color w:val="auto"/>
              </w:rPr>
              <w:t>Biohaven Ltd.</w:t>
            </w:r>
          </w:p>
        </w:tc>
        <w:tc>
          <w:tcPr>
            <w:tcW w:w="5140" w:type="dxa"/>
            <w:vAlign w:val="bottom"/>
          </w:tcPr>
          <w:p>
            <w:pPr>
              <w:jc w:val="right"/>
              <w:spacing w:after="0"/>
              <w:rPr>
                <w:sz w:val="20"/>
                <w:szCs w:val="20"/>
                <w:color w:val="auto"/>
              </w:rPr>
            </w:pPr>
            <w:r>
              <w:rPr>
                <w:rFonts w:ascii="Arial" w:cs="Arial" w:eastAsia="Arial" w:hAnsi="Arial"/>
                <w:sz w:val="18"/>
                <w:szCs w:val="18"/>
                <w:color w:val="auto"/>
              </w:rPr>
              <w:t>- 5 -</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 to us under the heading “Validity of Securities” in the prospectus. In giving such consent, we do not thereby admit that we are in the category of persons whose consent is required under Section 7 of the Act.</w:t>
      </w:r>
    </w:p>
    <w:p>
      <w:pPr>
        <w:spacing w:after="0" w:line="226"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Very truly yours,</w:t>
      </w:r>
    </w:p>
    <w:p>
      <w:pPr>
        <w:spacing w:after="0" w:line="287"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/s/ SULLIVAN &amp; CROMWELL LLP</w:t>
      </w:r>
    </w:p>
    <w:p>
      <w:pPr>
        <w:sectPr>
          <w:pgSz w:w="11900" w:h="16838" w:orient="portrait"/>
          <w:cols w:equalWidth="0" w:num="1">
            <w:col w:w="11240"/>
          </w:cols>
          <w:pgMar w:left="320" w:top="402"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6" w:lineRule="exact"/>
        <w:rPr>
          <w:sz w:val="20"/>
          <w:szCs w:val="20"/>
          <w:color w:val="auto"/>
        </w:rPr>
      </w:pPr>
    </w:p>
    <w:p>
      <w:pPr>
        <w:ind w:right="120"/>
        <w:spacing w:after="0" w:line="266" w:lineRule="auto"/>
        <w:rPr>
          <w:sz w:val="20"/>
          <w:szCs w:val="20"/>
          <w:color w:val="auto"/>
        </w:rPr>
      </w:pPr>
      <w:r>
        <w:rPr>
          <w:rFonts w:ascii="Arial" w:cs="Arial" w:eastAsia="Arial" w:hAnsi="Arial"/>
          <w:sz w:val="21"/>
          <w:szCs w:val="21"/>
          <w:color w:val="auto"/>
        </w:rPr>
        <w:t>We consent to the reference to our firm under the caption “Experts” in this Registration Statement (Form S-3) and related Prospectus of Biohaven Ltd. for the registration of common shares, preferred shares, depositary shares, debt securities, warrants, rights, purchase contracts and units, and to the incorporation by reference therein of our report dated March 23, 2023, with respect to the consolidated financial statements of Biohaven Ltd. included in its Annual Report (Form 10-K) for the year ended December 31, 2022, filed with the Securities and Exchange Commission.</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Ernst &amp; Young LLP</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Hartford, Connecticut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September 29, 2023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lowerLetter"/>
      <w:start w:val="1"/>
    </w:lvl>
  </w:abstractNum>
  <w:abstractNum w:abstractNumId="7">
    <w:nsid w:val="7644A45C"/>
    <w:multiLevelType w:val="hybridMultilevel"/>
    <w:lvl w:ilvl="0">
      <w:lvlJc w:val="left"/>
      <w:lvlText w:val="%1."/>
      <w:numFmt w:val="lowerLetter"/>
      <w:start w:val="4"/>
    </w:lvl>
    <w:lvl w:ilvl="1">
      <w:lvlJc w:val="left"/>
      <w:lvlText w:val="%2."/>
      <w:numFmt w:val="lowerRoman"/>
      <w:start w:val="1"/>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lowerLetter"/>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107"/>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1"/>
    </w:lvl>
    <w:lvl w:ilvl="1">
      <w:lvlJc w:val="left"/>
      <w:lvlText w:val="(%2)"/>
      <w:numFmt w:val="lowerRoman"/>
      <w:start w:val="1"/>
    </w:lvl>
  </w:abstractNum>
  <w:abstractNum w:abstractNumId="37">
    <w:nsid w:val="77AE35EB"/>
    <w:multiLevelType w:val="hybridMultilevel"/>
    <w:lvl w:ilvl="0">
      <w:lvlJc w:val="left"/>
      <w:lvlText w:val="(%1)"/>
      <w:numFmt w:val="decimal"/>
      <w:start w:val="2"/>
    </w:lvl>
    <w:lvl w:ilvl="1">
      <w:lvlJc w:val="left"/>
      <w:lvlText w:val="(%2)"/>
      <w:numFmt w:val="lowerRoman"/>
      <w:start w:val="1"/>
    </w:lvl>
  </w:abstractNum>
  <w:abstractNum w:abstractNumId="38">
    <w:nsid w:val="579BE4F1"/>
    <w:multiLevelType w:val="hybridMultilevel"/>
    <w:lvl w:ilvl="0">
      <w:lvlJc w:val="left"/>
      <w:lvlText w:val="(%1)"/>
      <w:numFmt w:val="decimal"/>
      <w:start w:val="5"/>
    </w:lvl>
    <w:lvl w:ilvl="1">
      <w:lvlJc w:val="left"/>
      <w:lvlText w:val="(%2)"/>
      <w:numFmt w:val="lowerRoman"/>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3"/>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lowerLetter"/>
      <w:start w:val="2"/>
    </w:lvl>
    <w:lvl w:ilvl="1">
      <w:lvlJc w:val="left"/>
      <w:lvlText w:val="(%2)"/>
      <w:numFmt w:val="lowerRoman"/>
      <w:start w:val="1"/>
    </w:lvl>
  </w:abstractNum>
  <w:abstractNum w:abstractNumId="46">
    <w:nsid w:val="1381823A"/>
    <w:multiLevelType w:val="hybridMultilevel"/>
    <w:lvl w:ilvl="0">
      <w:lvlJc w:val="left"/>
      <w:lvlText w:val="(%1)"/>
      <w:numFmt w:val="lowerLetter"/>
      <w:start w:val="6"/>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3"/>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lowerLetter"/>
      <w:start w:val="1"/>
    </w:lvl>
    <w:lvl w:ilvl="1">
      <w:lvlJc w:val="left"/>
      <w:lvlText w:val="(%2)"/>
      <w:numFmt w:val="lowerRoman"/>
      <w:start w:val="1"/>
    </w:lvl>
  </w:abstractNum>
  <w:abstractNum w:abstractNumId="53">
    <w:nsid w:val="799D0247"/>
    <w:multiLevelType w:val="hybridMultilevel"/>
    <w:lvl w:ilvl="0">
      <w:lvlJc w:val="left"/>
      <w:lvlText w:val="%1"/>
      <w:numFmt w:val="lowerLetter"/>
      <w:start w:val="1"/>
    </w:lvl>
    <w:lvl w:ilvl="1">
      <w:lvlJc w:val="left"/>
      <w:lvlText w:val="(%2)"/>
      <w:numFmt w:val="lowerRoman"/>
      <w:start w:val="2"/>
    </w:lvl>
  </w:abstractNum>
  <w:abstractNum w:abstractNumId="54">
    <w:nsid w:val="6B94764"/>
    <w:multiLevelType w:val="hybridMultilevel"/>
    <w:lvl w:ilvl="0">
      <w:lvlJc w:val="left"/>
      <w:lvlText w:val="(%1)"/>
      <w:numFmt w:val="lowerLetter"/>
      <w:start w:val="4"/>
    </w:lvl>
    <w:lvl w:ilvl="1">
      <w:lvlJc w:val="left"/>
      <w:lvlText w:val="%2"/>
      <w:numFmt w:val="lowerRoman"/>
      <w:start w:val="1"/>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4"/>
    </w:lvl>
  </w:abstractNum>
  <w:abstractNum w:abstractNumId="57">
    <w:nsid w:val="1EBA5D23"/>
    <w:multiLevelType w:val="hybridMultilevel"/>
    <w:lvl w:ilvl="0">
      <w:lvlJc w:val="left"/>
      <w:lvlText w:val="(%1)"/>
      <w:numFmt w:val="lowerLetter"/>
      <w:start w:val="13"/>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3"/>
    </w:lvl>
  </w:abstractNum>
  <w:abstractNum w:abstractNumId="60">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1">
    <w:nsid w:val="7BD3EE7B"/>
    <w:multiLevelType w:val="hybridMultilevel"/>
    <w:lvl w:ilvl="0">
      <w:lvlJc w:val="left"/>
      <w:lvlText w:val="(%1)"/>
      <w:numFmt w:val="lowerLetter"/>
      <w:start w:val="2"/>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2"/>
    </w:lvl>
  </w:abstractNum>
  <w:abstractNum w:abstractNumId="65">
    <w:nsid w:val="11447B73"/>
    <w:multiLevelType w:val="hybridMultilevel"/>
    <w:lvl w:ilvl="0">
      <w:lvlJc w:val="left"/>
      <w:lvlText w:val="%1"/>
      <w:numFmt w:val="lowerLetter"/>
      <w:start w:val="1"/>
    </w:lvl>
    <w:lvl w:ilvl="1">
      <w:lvlJc w:val="left"/>
      <w:lvlText w:val="(%2)"/>
      <w:numFmt w:val="lowerLetter"/>
      <w:start w:val="4"/>
    </w:lvl>
  </w:abstractNum>
  <w:abstractNum w:abstractNumId="66">
    <w:nsid w:val="42963E5A"/>
    <w:multiLevelType w:val="hybridMultilevel"/>
    <w:lvl w:ilvl="0">
      <w:lvlJc w:val="left"/>
      <w:lvlText w:val="(%1)"/>
      <w:numFmt w:val="lowerLetter"/>
      <w:start w:val="35"/>
    </w:lvl>
    <w:lvl w:ilvl="1">
      <w:lvlJc w:val="left"/>
      <w:lvlText w:val="%2"/>
      <w:numFmt w:val="lowerLetter"/>
      <w:start w:val="1"/>
    </w:lvl>
  </w:abstractNum>
  <w:abstractNum w:abstractNumId="67">
    <w:nsid w:val="A0382C5"/>
    <w:multiLevelType w:val="hybridMultilevel"/>
    <w:lvl w:ilvl="0">
      <w:lvlJc w:val="left"/>
      <w:lvlText w:val="(%1)"/>
      <w:numFmt w:val="lowerLetter"/>
      <w:start w:val="8"/>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3"/>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2"/>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Roman"/>
      <w:start w:val="2"/>
    </w:lvl>
  </w:abstractNum>
  <w:abstractNum w:abstractNumId="75">
    <w:nsid w:val="14330624"/>
    <w:multiLevelType w:val="hybridMultilevel"/>
    <w:lvl w:ilvl="0">
      <w:lvlJc w:val="left"/>
      <w:lvlText w:val="(%1)"/>
      <w:numFmt w:val="lowerRoman"/>
      <w:start w:val="3"/>
    </w:lvl>
  </w:abstractNum>
  <w:abstractNum w:abstractNumId="76">
    <w:nsid w:val="7FFFCA11"/>
    <w:multiLevelType w:val="hybridMultilevel"/>
    <w:lvl w:ilvl="0">
      <w:lvlJc w:val="left"/>
      <w:lvlText w:val="1"/>
      <w:numFmt w:val="bullet"/>
      <w:start w:val="1"/>
    </w:lvl>
  </w:abstractNum>
  <w:abstractNum w:abstractNumId="77">
    <w:nsid w:val="1A27709E"/>
    <w:multiLevelType w:val="hybridMultilevel"/>
    <w:lvl w:ilvl="0">
      <w:lvlJc w:val="left"/>
      <w:lvlText w:val="2"/>
      <w:numFmt w:val="bullet"/>
      <w:start w:val="1"/>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decimal"/>
      <w:start w:val="3"/>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4"/>
      <w:numFmt w:val="bullet"/>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5"/>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2"/>
    </w:lvl>
  </w:abstractNum>
  <w:abstractNum w:abstractNumId="87">
    <w:nsid w:val="1716703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eg"/><Relationship Id="rId31" Type="http://schemas.openxmlformats.org/officeDocument/2006/relationships/image" Target="media/image17.jpeg"/><Relationship Id="rId21" Type="http://schemas.openxmlformats.org/officeDocument/2006/relationships/hyperlink" Target="https://www.sec.gov/ix?doc=/Archives/edgar/data/0001935979/000193597923000009/bhvn-20221231.htm" TargetMode="External"/><Relationship Id="rId22" Type="http://schemas.openxmlformats.org/officeDocument/2006/relationships/hyperlink" Target="https://www.sec.gov/ix?doc=/Archives/edgar/data/0001935979/000193597923000029/bhvn-20230331.htm" TargetMode="External"/><Relationship Id="rId23" Type="http://schemas.openxmlformats.org/officeDocument/2006/relationships/hyperlink" Target="https://www.sec.gov/ix?doc=/Archives/edgar/data/0001935979/000193597923000052/bhvn-20230630.htm" TargetMode="External"/><Relationship Id="rId24" Type="http://schemas.openxmlformats.org/officeDocument/2006/relationships/hyperlink" Target="https://www.sec.gov/ix?doc=/Archives/edgar/data/0001935979/000193597923000019/bhvn-20230502.htm" TargetMode="External"/><Relationship Id="rId25" Type="http://schemas.openxmlformats.org/officeDocument/2006/relationships/hyperlink" Target="https://www.sec.gov/Archives/edgar/data/1935979/000162828022025178/a2022biohavenresearchltd-f.htm" TargetMode="External"/><Relationship Id="rId26" Type="http://schemas.openxmlformats.org/officeDocument/2006/relationships/hyperlink" Target="https://www.sec.gov/Archives/edgar/data/1689813/000110465917039232/a17-15127_1ex2d1.htm" TargetMode="External"/><Relationship Id="rId27" Type="http://schemas.openxmlformats.org/officeDocument/2006/relationships/hyperlink" Target="https://www.sec.gov/Archives/edgar/data/1935979/000162828022025893/exhibit31-8xk103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2023-10-02T15:16:11Z</dcterms:created>
  <dcterms:modified xsi:type="dcterms:W3CDTF">2023-10-02T15:16:11Z</dcterms:modified>
</cp:coreProperties>
</file>