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12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120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Clark George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80"/>
        <w:spacing w:after="0" w:line="343" w:lineRule="auto"/>
        <w:rPr>
          <w:sz w:val="20"/>
          <w:szCs w:val="20"/>
          <w:color w:val="auto"/>
        </w:rPr>
      </w:pPr>
      <w:r>
        <w:rPr>
          <w:rFonts w:ascii="Times New Roman" w:cs="Times New Roman" w:eastAsia="Times New Roman" w:hAnsi="Times New Roman"/>
          <w:sz w:val="17"/>
          <w:szCs w:val="17"/>
          <w:color w:val="0000FF"/>
        </w:rPr>
        <w:t>C/O BIOHAVEN PHARMACEUTICALS, INC. 215 CHURCH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Biohaven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BHVN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6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VP, Chief Accounting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41.93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01/02/2024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27,500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27,500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27,500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underlying this option vest in four equal installments on January 2, 2024, 2025, 2026 and 2027, subject to the Reporting Person's continuous service with the Issuer at each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George Clark</w:t>
            </w:r>
          </w:p>
        </w:tc>
        <w:tc>
          <w:tcPr>
            <w:tcW w:w="11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01/04/2024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8290" TargetMode="External"/><Relationship Id="rId13"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2024-01-04T19:20:07Z</dcterms:created>
  <dcterms:modified xsi:type="dcterms:W3CDTF">2024-01-04T19:20:07Z</dcterms:modified>
</cp:coreProperties>
</file>