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4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6"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0"/>
          <w:szCs w:val="20"/>
          <w:b w:val="1"/>
          <w:bCs w:val="1"/>
          <w:color w:val="auto"/>
        </w:rPr>
        <w:t>Pursuant to Section 13 or 15(d) of</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Securities Exchange Act of 1934</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Date of Report (Date of earliest event reported): April 28, 2026</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Biohaven Ltd.</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4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British Virgin Islands</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001-41477</w:t>
      </w:r>
    </w:p>
    <w:p>
      <w:pPr>
        <w:spacing w:after="0" w:line="31"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3780" w:space="720"/>
            <w:col w:w="2720" w:space="720"/>
            <w:col w:w="3300"/>
          </w:cols>
          <w:pgMar w:left="320" w:top="1440" w:right="339" w:bottom="1440" w:gutter="0" w:footer="0" w:header="0"/>
          <w:type w:val="continuous"/>
        </w:sectPr>
      </w:pP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 Biohaven Pharmaceuticals, Inc.</w:t>
      </w:r>
    </w:p>
    <w:p>
      <w:pPr>
        <w:spacing w:after="0" w:line="28"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6"/>
          <w:szCs w:val="16"/>
          <w:b w:val="1"/>
          <w:bCs w:val="1"/>
          <w:color w:val="auto"/>
        </w:rPr>
        <w:t>215 Church Street</w:t>
      </w:r>
    </w:p>
    <w:p>
      <w:pPr>
        <w:spacing w:after="0" w:line="15"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6"/>
          <w:szCs w:val="16"/>
          <w:b w:val="1"/>
          <w:bCs w:val="1"/>
          <w:color w:val="auto"/>
        </w:rPr>
        <w:t>New Haven, Connecticut 06510</w:t>
      </w:r>
    </w:p>
    <w:p>
      <w:pPr>
        <w:spacing w:after="0" w:line="5"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6"/>
          <w:szCs w:val="16"/>
          <w:color w:val="auto"/>
        </w:rPr>
        <w:t>(Address of principal executive offices, including zip code)</w:t>
      </w:r>
    </w:p>
    <w:p>
      <w:pPr>
        <w:spacing w:after="0" w:line="8"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6"/>
          <w:szCs w:val="16"/>
          <w:b w:val="1"/>
          <w:bCs w:val="1"/>
          <w:color w:val="auto"/>
        </w:rPr>
        <w:t>(203) 404-0410</w:t>
      </w:r>
    </w:p>
    <w:p>
      <w:pPr>
        <w:spacing w:after="0" w:line="15"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8"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5"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ectPr>
          <w:pgSz w:w="11900" w:h="16838" w:orient="portrait"/>
          <w:cols w:equalWidth="0" w:num="1">
            <w:col w:w="11240"/>
          </w:cols>
          <w:pgMar w:left="320" w:top="1440" w:right="339" w:bottom="1440" w:gutter="0" w:footer="0" w:header="0"/>
          <w:type w:val="continuous"/>
        </w:sectPr>
      </w:pPr>
    </w:p>
    <w:p>
      <w:pPr>
        <w:spacing w:after="0" w:line="199" w:lineRule="exact"/>
        <w:rPr>
          <w:sz w:val="24"/>
          <w:szCs w:val="24"/>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980" w:firstLine="8"/>
        <w:spacing w:after="0" w:line="401"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5"/>
        </w:trPr>
        <w:tc>
          <w:tcPr>
            <w:tcW w:w="4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w:t>
            </w:r>
          </w:p>
        </w:tc>
        <w:tc>
          <w:tcPr>
            <w:tcW w:w="4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Shares, no par value</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BHVN</w:t>
            </w:r>
          </w:p>
        </w:tc>
        <w:tc>
          <w:tcPr>
            <w:tcW w:w="4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9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ind w:left="2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28, 2026, Biohaven Ltd. (the “Company”) held its 2026 annual meeting of shareholders (the “Annual Meeting”).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are the results of the matters submitted for a vote of shareholders at the Annual Meeting.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No. 1</w:t>
      </w:r>
      <w:r>
        <w:rPr>
          <w:rFonts w:ascii="Times New Roman" w:cs="Times New Roman" w:eastAsia="Times New Roman" w:hAnsi="Times New Roman"/>
          <w:sz w:val="18"/>
          <w:szCs w:val="18"/>
          <w:color w:val="auto"/>
        </w:rPr>
        <w:t>: Election of directors for a term expiring at the 2029 Annual Meeting of Shareholders.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7"/>
                <w:szCs w:val="17"/>
                <w:color w:val="auto"/>
              </w:rPr>
            </w:pPr>
          </w:p>
        </w:tc>
        <w:tc>
          <w:tcPr>
            <w:tcW w:w="264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5"/>
              </w:rPr>
              <w:t>Votes For</w:t>
            </w:r>
          </w:p>
        </w:tc>
        <w:tc>
          <w:tcPr>
            <w:tcW w:w="230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2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Abstained</w:t>
            </w:r>
          </w:p>
        </w:tc>
      </w:tr>
      <w:tr>
        <w:trPr>
          <w:trHeight w:val="21"/>
        </w:trPr>
        <w:tc>
          <w:tcPr>
            <w:tcW w:w="50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29"/>
        </w:trPr>
        <w:tc>
          <w:tcPr>
            <w:tcW w:w="5020" w:type="dxa"/>
            <w:vAlign w:val="bottom"/>
            <w:shd w:val="clear" w:color="auto" w:fill="DEF2FB"/>
          </w:tcPr>
          <w:p>
            <w:pPr>
              <w:ind w:left="20"/>
              <w:spacing w:after="0"/>
              <w:rPr>
                <w:sz w:val="20"/>
                <w:szCs w:val="20"/>
                <w:color w:val="auto"/>
              </w:rPr>
            </w:pPr>
            <w:r>
              <w:rPr>
                <w:rFonts w:ascii="Times New Roman" w:cs="Times New Roman" w:eastAsia="Times New Roman" w:hAnsi="Times New Roman"/>
                <w:sz w:val="18"/>
                <w:szCs w:val="18"/>
                <w:color w:val="auto"/>
              </w:rPr>
              <w:t>Proposal No. 1(a): Michael T. Heffernan</w:t>
            </w:r>
          </w:p>
        </w:tc>
        <w:tc>
          <w:tcPr>
            <w:tcW w:w="2640" w:type="dxa"/>
            <w:vAlign w:val="bottom"/>
            <w:gridSpan w:val="3"/>
            <w:shd w:val="clear" w:color="auto" w:fill="DEF2FB"/>
          </w:tcPr>
          <w:p>
            <w:pPr>
              <w:jc w:val="center"/>
              <w:ind w:left="910"/>
              <w:spacing w:after="0"/>
              <w:rPr>
                <w:sz w:val="20"/>
                <w:szCs w:val="20"/>
                <w:color w:val="auto"/>
              </w:rPr>
            </w:pPr>
            <w:r>
              <w:rPr>
                <w:rFonts w:ascii="Times New Roman" w:cs="Times New Roman" w:eastAsia="Times New Roman" w:hAnsi="Times New Roman"/>
                <w:sz w:val="18"/>
                <w:szCs w:val="18"/>
                <w:color w:val="auto"/>
                <w:w w:val="98"/>
              </w:rPr>
              <w:t>76,133,746</w:t>
            </w:r>
          </w:p>
        </w:tc>
        <w:tc>
          <w:tcPr>
            <w:tcW w:w="1460" w:type="dxa"/>
            <w:vAlign w:val="bottom"/>
            <w:gridSpan w:val="2"/>
            <w:shd w:val="clear" w:color="auto" w:fill="DEF2FB"/>
          </w:tcPr>
          <w:p>
            <w:pPr>
              <w:jc w:val="center"/>
              <w:ind w:left="310"/>
              <w:spacing w:after="0"/>
              <w:rPr>
                <w:sz w:val="20"/>
                <w:szCs w:val="20"/>
                <w:color w:val="auto"/>
              </w:rPr>
            </w:pPr>
            <w:r>
              <w:rPr>
                <w:rFonts w:ascii="Times New Roman" w:cs="Times New Roman" w:eastAsia="Times New Roman" w:hAnsi="Times New Roman"/>
                <w:sz w:val="18"/>
                <w:szCs w:val="18"/>
                <w:color w:val="auto"/>
              </w:rPr>
              <w:t>15,092,665</w:t>
            </w:r>
          </w:p>
        </w:tc>
        <w:tc>
          <w:tcPr>
            <w:tcW w:w="840" w:type="dxa"/>
            <w:vAlign w:val="bottom"/>
            <w:shd w:val="clear" w:color="auto" w:fill="DEF2FB"/>
          </w:tcPr>
          <w:p>
            <w:pPr>
              <w:spacing w:after="0"/>
              <w:rPr>
                <w:sz w:val="19"/>
                <w:szCs w:val="19"/>
                <w:color w:val="auto"/>
              </w:rPr>
            </w:pPr>
          </w:p>
        </w:tc>
        <w:tc>
          <w:tcPr>
            <w:tcW w:w="780" w:type="dxa"/>
            <w:vAlign w:val="bottom"/>
            <w:shd w:val="clear" w:color="auto" w:fill="DEF2FB"/>
          </w:tcPr>
          <w:p>
            <w:pPr>
              <w:jc w:val="center"/>
              <w:spacing w:after="0"/>
              <w:rPr>
                <w:sz w:val="20"/>
                <w:szCs w:val="20"/>
                <w:color w:val="auto"/>
              </w:rPr>
            </w:pPr>
            <w:r>
              <w:rPr>
                <w:rFonts w:ascii="Times New Roman" w:cs="Times New Roman" w:eastAsia="Times New Roman" w:hAnsi="Times New Roman"/>
                <w:sz w:val="18"/>
                <w:szCs w:val="18"/>
                <w:color w:val="auto"/>
                <w:w w:val="99"/>
              </w:rPr>
              <w:t>1,984,918</w:t>
            </w:r>
          </w:p>
        </w:tc>
        <w:tc>
          <w:tcPr>
            <w:tcW w:w="500" w:type="dxa"/>
            <w:vAlign w:val="bottom"/>
            <w:shd w:val="clear" w:color="auto" w:fill="DEF2FB"/>
          </w:tcPr>
          <w:p>
            <w:pPr>
              <w:spacing w:after="0"/>
              <w:rPr>
                <w:sz w:val="19"/>
                <w:szCs w:val="19"/>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Proposal No. 1(b): Irina Antonijevic, M.D., Ph.D.</w:t>
            </w:r>
          </w:p>
        </w:tc>
        <w:tc>
          <w:tcPr>
            <w:tcW w:w="264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8"/>
              </w:rPr>
              <w:t>76,612,017</w:t>
            </w:r>
          </w:p>
        </w:tc>
        <w:tc>
          <w:tcPr>
            <w:tcW w:w="146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w w:val="98"/>
              </w:rPr>
              <w:t>14,616,115</w:t>
            </w:r>
          </w:p>
        </w:tc>
        <w:tc>
          <w:tcPr>
            <w:tcW w:w="84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1,983,197</w:t>
            </w:r>
          </w:p>
        </w:tc>
        <w:tc>
          <w:tcPr>
            <w:tcW w:w="500" w:type="dxa"/>
            <w:vAlign w:val="bottom"/>
          </w:tcPr>
          <w:p>
            <w:pPr>
              <w:spacing w:after="0"/>
              <w:rPr>
                <w:sz w:val="19"/>
                <w:szCs w:val="19"/>
                <w:color w:val="auto"/>
              </w:rPr>
            </w:pPr>
          </w:p>
        </w:tc>
      </w:tr>
      <w:tr>
        <w:trPr>
          <w:trHeight w:val="229"/>
        </w:trPr>
        <w:tc>
          <w:tcPr>
            <w:tcW w:w="5020" w:type="dxa"/>
            <w:vAlign w:val="bottom"/>
            <w:shd w:val="clear" w:color="auto" w:fill="DEF2FB"/>
          </w:tcPr>
          <w:p>
            <w:pPr>
              <w:ind w:left="20"/>
              <w:spacing w:after="0"/>
              <w:rPr>
                <w:sz w:val="20"/>
                <w:szCs w:val="20"/>
                <w:color w:val="auto"/>
              </w:rPr>
            </w:pPr>
            <w:r>
              <w:rPr>
                <w:rFonts w:ascii="Times New Roman" w:cs="Times New Roman" w:eastAsia="Times New Roman" w:hAnsi="Times New Roman"/>
                <w:sz w:val="18"/>
                <w:szCs w:val="18"/>
                <w:color w:val="auto"/>
              </w:rPr>
              <w:t>Proposal No. 1(c): Robert J. Hugin</w:t>
            </w:r>
          </w:p>
        </w:tc>
        <w:tc>
          <w:tcPr>
            <w:tcW w:w="2640" w:type="dxa"/>
            <w:vAlign w:val="bottom"/>
            <w:gridSpan w:val="3"/>
            <w:shd w:val="clear" w:color="auto" w:fill="DEF2FB"/>
          </w:tcPr>
          <w:p>
            <w:pPr>
              <w:jc w:val="center"/>
              <w:ind w:left="910"/>
              <w:spacing w:after="0"/>
              <w:rPr>
                <w:sz w:val="20"/>
                <w:szCs w:val="20"/>
                <w:color w:val="auto"/>
              </w:rPr>
            </w:pPr>
            <w:r>
              <w:rPr>
                <w:rFonts w:ascii="Times New Roman" w:cs="Times New Roman" w:eastAsia="Times New Roman" w:hAnsi="Times New Roman"/>
                <w:sz w:val="18"/>
                <w:szCs w:val="18"/>
                <w:color w:val="auto"/>
                <w:w w:val="98"/>
              </w:rPr>
              <w:t>76,597,707</w:t>
            </w:r>
          </w:p>
        </w:tc>
        <w:tc>
          <w:tcPr>
            <w:tcW w:w="1460" w:type="dxa"/>
            <w:vAlign w:val="bottom"/>
            <w:gridSpan w:val="2"/>
            <w:shd w:val="clear" w:color="auto" w:fill="DEF2FB"/>
          </w:tcPr>
          <w:p>
            <w:pPr>
              <w:jc w:val="center"/>
              <w:ind w:left="310"/>
              <w:spacing w:after="0"/>
              <w:rPr>
                <w:sz w:val="20"/>
                <w:szCs w:val="20"/>
                <w:color w:val="auto"/>
              </w:rPr>
            </w:pPr>
            <w:r>
              <w:rPr>
                <w:rFonts w:ascii="Times New Roman" w:cs="Times New Roman" w:eastAsia="Times New Roman" w:hAnsi="Times New Roman"/>
                <w:sz w:val="18"/>
                <w:szCs w:val="18"/>
                <w:color w:val="auto"/>
              </w:rPr>
              <w:t>14,626,151</w:t>
            </w:r>
          </w:p>
        </w:tc>
        <w:tc>
          <w:tcPr>
            <w:tcW w:w="840" w:type="dxa"/>
            <w:vAlign w:val="bottom"/>
            <w:shd w:val="clear" w:color="auto" w:fill="DEF2FB"/>
          </w:tcPr>
          <w:p>
            <w:pPr>
              <w:spacing w:after="0"/>
              <w:rPr>
                <w:sz w:val="19"/>
                <w:szCs w:val="19"/>
                <w:color w:val="auto"/>
              </w:rPr>
            </w:pPr>
          </w:p>
        </w:tc>
        <w:tc>
          <w:tcPr>
            <w:tcW w:w="780" w:type="dxa"/>
            <w:vAlign w:val="bottom"/>
            <w:shd w:val="clear" w:color="auto" w:fill="DEF2FB"/>
          </w:tcPr>
          <w:p>
            <w:pPr>
              <w:jc w:val="center"/>
              <w:spacing w:after="0"/>
              <w:rPr>
                <w:sz w:val="20"/>
                <w:szCs w:val="20"/>
                <w:color w:val="auto"/>
              </w:rPr>
            </w:pPr>
            <w:r>
              <w:rPr>
                <w:rFonts w:ascii="Times New Roman" w:cs="Times New Roman" w:eastAsia="Times New Roman" w:hAnsi="Times New Roman"/>
                <w:sz w:val="18"/>
                <w:szCs w:val="18"/>
                <w:color w:val="auto"/>
                <w:w w:val="99"/>
              </w:rPr>
              <w:t>1,987,471</w:t>
            </w:r>
          </w:p>
        </w:tc>
        <w:tc>
          <w:tcPr>
            <w:tcW w:w="500" w:type="dxa"/>
            <w:vAlign w:val="bottom"/>
            <w:shd w:val="clear" w:color="auto" w:fill="DEF2FB"/>
          </w:tcPr>
          <w:p>
            <w:pPr>
              <w:spacing w:after="0"/>
              <w:rPr>
                <w:sz w:val="19"/>
                <w:szCs w:val="19"/>
                <w:color w:val="auto"/>
              </w:rPr>
            </w:pPr>
          </w:p>
        </w:tc>
      </w:tr>
    </w:tbl>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Broker Non-Votes: 32,137,064</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nominees were elected.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No. 2</w:t>
      </w:r>
      <w:r>
        <w:rPr>
          <w:rFonts w:ascii="Times New Roman" w:cs="Times New Roman" w:eastAsia="Times New Roman" w:hAnsi="Times New Roman"/>
          <w:sz w:val="18"/>
          <w:szCs w:val="18"/>
          <w:color w:val="auto"/>
        </w:rPr>
        <w:t>: Ratification of the appointment of Ernst &amp; Young LLP as independent auditors for the fiscal year ending December 31, 2026.</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tcPr>
          <w:p>
            <w:pPr>
              <w:spacing w:after="0"/>
              <w:rPr>
                <w:sz w:val="17"/>
                <w:szCs w:val="17"/>
                <w:color w:val="auto"/>
              </w:rPr>
            </w:pPr>
          </w:p>
        </w:tc>
        <w:tc>
          <w:tcPr>
            <w:tcW w:w="264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5"/>
              </w:rPr>
              <w:t>Votes For</w:t>
            </w:r>
          </w:p>
        </w:tc>
        <w:tc>
          <w:tcPr>
            <w:tcW w:w="228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2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Abstained</w:t>
            </w:r>
          </w:p>
        </w:tc>
        <w:tc>
          <w:tcPr>
            <w:tcW w:w="0" w:type="dxa"/>
            <w:vAlign w:val="bottom"/>
          </w:tcPr>
          <w:p>
            <w:pPr>
              <w:spacing w:after="0"/>
              <w:rPr>
                <w:sz w:val="1"/>
                <w:szCs w:val="1"/>
                <w:color w:val="auto"/>
              </w:rPr>
            </w:pPr>
          </w:p>
        </w:tc>
      </w:tr>
      <w:tr>
        <w:trPr>
          <w:trHeight w:val="21"/>
        </w:trPr>
        <w:tc>
          <w:tcPr>
            <w:tcW w:w="5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040" w:type="dxa"/>
            <w:vAlign w:val="bottom"/>
            <w:vMerge w:val="restart"/>
            <w:shd w:val="clear" w:color="auto" w:fill="DEF2FB"/>
          </w:tcPr>
          <w:p>
            <w:pPr>
              <w:ind w:left="20"/>
              <w:spacing w:after="0"/>
              <w:rPr>
                <w:sz w:val="20"/>
                <w:szCs w:val="20"/>
                <w:color w:val="auto"/>
              </w:rPr>
            </w:pPr>
            <w:r>
              <w:rPr>
                <w:rFonts w:ascii="Times New Roman" w:cs="Times New Roman" w:eastAsia="Times New Roman" w:hAnsi="Times New Roman"/>
                <w:sz w:val="18"/>
                <w:szCs w:val="18"/>
                <w:color w:val="auto"/>
              </w:rPr>
              <w:t>Ratification of appointment of Ernst &amp; Young LLP</w:t>
            </w:r>
          </w:p>
        </w:tc>
        <w:tc>
          <w:tcPr>
            <w:tcW w:w="2640" w:type="dxa"/>
            <w:vAlign w:val="bottom"/>
            <w:gridSpan w:val="3"/>
            <w:shd w:val="clear" w:color="auto" w:fill="DEF2FB"/>
          </w:tcPr>
          <w:p>
            <w:pPr>
              <w:jc w:val="right"/>
              <w:ind w:right="400"/>
              <w:spacing w:after="0"/>
              <w:rPr>
                <w:sz w:val="20"/>
                <w:szCs w:val="20"/>
                <w:color w:val="auto"/>
              </w:rPr>
            </w:pPr>
            <w:r>
              <w:rPr>
                <w:rFonts w:ascii="Times New Roman" w:cs="Times New Roman" w:eastAsia="Times New Roman" w:hAnsi="Times New Roman"/>
                <w:sz w:val="18"/>
                <w:szCs w:val="18"/>
                <w:color w:val="auto"/>
              </w:rPr>
              <w:t>123,723,636</w:t>
            </w:r>
          </w:p>
        </w:tc>
        <w:tc>
          <w:tcPr>
            <w:tcW w:w="1440" w:type="dxa"/>
            <w:vAlign w:val="bottom"/>
            <w:gridSpan w:val="2"/>
            <w:shd w:val="clear" w:color="auto" w:fill="DEF2FB"/>
          </w:tcPr>
          <w:p>
            <w:pPr>
              <w:jc w:val="right"/>
              <w:ind w:right="240"/>
              <w:spacing w:after="0"/>
              <w:rPr>
                <w:sz w:val="20"/>
                <w:szCs w:val="20"/>
                <w:color w:val="auto"/>
              </w:rPr>
            </w:pPr>
            <w:r>
              <w:rPr>
                <w:rFonts w:ascii="Times New Roman" w:cs="Times New Roman" w:eastAsia="Times New Roman" w:hAnsi="Times New Roman"/>
                <w:sz w:val="18"/>
                <w:szCs w:val="18"/>
                <w:color w:val="auto"/>
              </w:rPr>
              <w:t>214,123</w:t>
            </w:r>
          </w:p>
        </w:tc>
        <w:tc>
          <w:tcPr>
            <w:tcW w:w="840" w:type="dxa"/>
            <w:vAlign w:val="bottom"/>
            <w:shd w:val="clear" w:color="auto" w:fill="DEF2FB"/>
          </w:tcPr>
          <w:p>
            <w:pPr>
              <w:spacing w:after="0"/>
              <w:rPr>
                <w:sz w:val="20"/>
                <w:szCs w:val="20"/>
                <w:color w:val="auto"/>
              </w:rPr>
            </w:pPr>
          </w:p>
        </w:tc>
        <w:tc>
          <w:tcPr>
            <w:tcW w:w="780" w:type="dxa"/>
            <w:vAlign w:val="bottom"/>
            <w:shd w:val="clear" w:color="auto" w:fill="DEF2FB"/>
          </w:tcPr>
          <w:p>
            <w:pPr>
              <w:jc w:val="right"/>
              <w:spacing w:after="0"/>
              <w:rPr>
                <w:sz w:val="20"/>
                <w:szCs w:val="20"/>
                <w:color w:val="auto"/>
              </w:rPr>
            </w:pPr>
            <w:r>
              <w:rPr>
                <w:rFonts w:ascii="Times New Roman" w:cs="Times New Roman" w:eastAsia="Times New Roman" w:hAnsi="Times New Roman"/>
                <w:sz w:val="18"/>
                <w:szCs w:val="18"/>
                <w:color w:val="auto"/>
              </w:rPr>
              <w:t>1,410,634</w:t>
            </w:r>
          </w:p>
        </w:tc>
        <w:tc>
          <w:tcPr>
            <w:tcW w:w="500" w:type="dxa"/>
            <w:vAlign w:val="bottom"/>
            <w:shd w:val="clear" w:color="auto" w:fill="DEF2FB"/>
          </w:tcPr>
          <w:p>
            <w:pPr>
              <w:spacing w:after="0"/>
              <w:rPr>
                <w:sz w:val="20"/>
                <w:szCs w:val="20"/>
                <w:color w:val="auto"/>
              </w:rPr>
            </w:pPr>
          </w:p>
        </w:tc>
        <w:tc>
          <w:tcPr>
            <w:tcW w:w="0" w:type="dxa"/>
            <w:vAlign w:val="bottom"/>
          </w:tcPr>
          <w:p>
            <w:pPr>
              <w:spacing w:after="0"/>
              <w:rPr>
                <w:sz w:val="1"/>
                <w:szCs w:val="1"/>
                <w:color w:val="auto"/>
              </w:rPr>
            </w:pPr>
          </w:p>
        </w:tc>
      </w:tr>
      <w:tr>
        <w:trPr>
          <w:trHeight w:val="103"/>
        </w:trPr>
        <w:tc>
          <w:tcPr>
            <w:tcW w:w="5040" w:type="dxa"/>
            <w:vAlign w:val="bottom"/>
            <w:vMerge w:val="continue"/>
            <w:shd w:val="clear" w:color="auto" w:fill="DEF2FB"/>
          </w:tcPr>
          <w:p>
            <w:pPr>
              <w:spacing w:after="0"/>
              <w:rPr>
                <w:sz w:val="8"/>
                <w:szCs w:val="8"/>
                <w:color w:val="auto"/>
              </w:rPr>
            </w:pPr>
          </w:p>
        </w:tc>
        <w:tc>
          <w:tcPr>
            <w:tcW w:w="1440" w:type="dxa"/>
            <w:vAlign w:val="bottom"/>
            <w:shd w:val="clear" w:color="auto" w:fill="DEF2FB"/>
          </w:tcPr>
          <w:p>
            <w:pPr>
              <w:spacing w:after="0"/>
              <w:rPr>
                <w:sz w:val="8"/>
                <w:szCs w:val="8"/>
                <w:color w:val="auto"/>
              </w:rPr>
            </w:pPr>
          </w:p>
        </w:tc>
        <w:tc>
          <w:tcPr>
            <w:tcW w:w="720" w:type="dxa"/>
            <w:vAlign w:val="bottom"/>
            <w:shd w:val="clear" w:color="auto" w:fill="DEF2FB"/>
          </w:tcPr>
          <w:p>
            <w:pPr>
              <w:spacing w:after="0"/>
              <w:rPr>
                <w:sz w:val="8"/>
                <w:szCs w:val="8"/>
                <w:color w:val="auto"/>
              </w:rPr>
            </w:pPr>
          </w:p>
        </w:tc>
        <w:tc>
          <w:tcPr>
            <w:tcW w:w="480" w:type="dxa"/>
            <w:vAlign w:val="bottom"/>
            <w:shd w:val="clear" w:color="auto" w:fill="DEF2FB"/>
          </w:tcPr>
          <w:p>
            <w:pPr>
              <w:spacing w:after="0"/>
              <w:rPr>
                <w:sz w:val="8"/>
                <w:szCs w:val="8"/>
                <w:color w:val="auto"/>
              </w:rPr>
            </w:pPr>
          </w:p>
        </w:tc>
        <w:tc>
          <w:tcPr>
            <w:tcW w:w="400" w:type="dxa"/>
            <w:vAlign w:val="bottom"/>
            <w:shd w:val="clear" w:color="auto" w:fill="DEF2FB"/>
          </w:tcPr>
          <w:p>
            <w:pPr>
              <w:spacing w:after="0"/>
              <w:rPr>
                <w:sz w:val="8"/>
                <w:szCs w:val="8"/>
                <w:color w:val="auto"/>
              </w:rPr>
            </w:pPr>
          </w:p>
        </w:tc>
        <w:tc>
          <w:tcPr>
            <w:tcW w:w="1040" w:type="dxa"/>
            <w:vAlign w:val="bottom"/>
            <w:shd w:val="clear" w:color="auto" w:fill="DEF2FB"/>
          </w:tcPr>
          <w:p>
            <w:pPr>
              <w:spacing w:after="0"/>
              <w:rPr>
                <w:sz w:val="8"/>
                <w:szCs w:val="8"/>
                <w:color w:val="auto"/>
              </w:rPr>
            </w:pPr>
          </w:p>
        </w:tc>
        <w:tc>
          <w:tcPr>
            <w:tcW w:w="840" w:type="dxa"/>
            <w:vAlign w:val="bottom"/>
            <w:shd w:val="clear" w:color="auto" w:fill="DEF2FB"/>
          </w:tcPr>
          <w:p>
            <w:pPr>
              <w:spacing w:after="0"/>
              <w:rPr>
                <w:sz w:val="8"/>
                <w:szCs w:val="8"/>
                <w:color w:val="auto"/>
              </w:rPr>
            </w:pPr>
          </w:p>
        </w:tc>
        <w:tc>
          <w:tcPr>
            <w:tcW w:w="780" w:type="dxa"/>
            <w:vAlign w:val="bottom"/>
            <w:shd w:val="clear" w:color="auto" w:fill="DEF2FB"/>
          </w:tcPr>
          <w:p>
            <w:pPr>
              <w:spacing w:after="0"/>
              <w:rPr>
                <w:sz w:val="8"/>
                <w:szCs w:val="8"/>
                <w:color w:val="auto"/>
              </w:rPr>
            </w:pPr>
          </w:p>
        </w:tc>
        <w:tc>
          <w:tcPr>
            <w:tcW w:w="500" w:type="dxa"/>
            <w:vAlign w:val="bottom"/>
            <w:shd w:val="clear" w:color="auto" w:fill="DEF2FB"/>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040" w:type="dxa"/>
            <w:vAlign w:val="bottom"/>
            <w:shd w:val="clear" w:color="auto" w:fill="DEF2FB"/>
          </w:tcPr>
          <w:p>
            <w:pPr>
              <w:spacing w:after="0"/>
              <w:rPr>
                <w:sz w:val="9"/>
                <w:szCs w:val="9"/>
                <w:color w:val="auto"/>
              </w:rPr>
            </w:pPr>
          </w:p>
        </w:tc>
        <w:tc>
          <w:tcPr>
            <w:tcW w:w="1440" w:type="dxa"/>
            <w:vAlign w:val="bottom"/>
            <w:shd w:val="clear" w:color="auto" w:fill="DEF2FB"/>
          </w:tcPr>
          <w:p>
            <w:pPr>
              <w:spacing w:after="0"/>
              <w:rPr>
                <w:sz w:val="9"/>
                <w:szCs w:val="9"/>
                <w:color w:val="auto"/>
              </w:rPr>
            </w:pPr>
          </w:p>
        </w:tc>
        <w:tc>
          <w:tcPr>
            <w:tcW w:w="720" w:type="dxa"/>
            <w:vAlign w:val="bottom"/>
            <w:shd w:val="clear" w:color="auto" w:fill="DEF2FB"/>
          </w:tcPr>
          <w:p>
            <w:pPr>
              <w:spacing w:after="0"/>
              <w:rPr>
                <w:sz w:val="9"/>
                <w:szCs w:val="9"/>
                <w:color w:val="auto"/>
              </w:rPr>
            </w:pPr>
          </w:p>
        </w:tc>
        <w:tc>
          <w:tcPr>
            <w:tcW w:w="480" w:type="dxa"/>
            <w:vAlign w:val="bottom"/>
            <w:shd w:val="clear" w:color="auto" w:fill="DEF2FB"/>
          </w:tcPr>
          <w:p>
            <w:pPr>
              <w:spacing w:after="0"/>
              <w:rPr>
                <w:sz w:val="9"/>
                <w:szCs w:val="9"/>
                <w:color w:val="auto"/>
              </w:rPr>
            </w:pPr>
          </w:p>
        </w:tc>
        <w:tc>
          <w:tcPr>
            <w:tcW w:w="400" w:type="dxa"/>
            <w:vAlign w:val="bottom"/>
            <w:shd w:val="clear" w:color="auto" w:fill="DEF2FB"/>
          </w:tcPr>
          <w:p>
            <w:pPr>
              <w:spacing w:after="0"/>
              <w:rPr>
                <w:sz w:val="9"/>
                <w:szCs w:val="9"/>
                <w:color w:val="auto"/>
              </w:rPr>
            </w:pPr>
          </w:p>
        </w:tc>
        <w:tc>
          <w:tcPr>
            <w:tcW w:w="1040" w:type="dxa"/>
            <w:vAlign w:val="bottom"/>
            <w:shd w:val="clear" w:color="auto" w:fill="DEF2FB"/>
          </w:tcPr>
          <w:p>
            <w:pPr>
              <w:spacing w:after="0"/>
              <w:rPr>
                <w:sz w:val="9"/>
                <w:szCs w:val="9"/>
                <w:color w:val="auto"/>
              </w:rPr>
            </w:pPr>
          </w:p>
        </w:tc>
        <w:tc>
          <w:tcPr>
            <w:tcW w:w="840" w:type="dxa"/>
            <w:vAlign w:val="bottom"/>
            <w:shd w:val="clear" w:color="auto" w:fill="DEF2FB"/>
          </w:tcPr>
          <w:p>
            <w:pPr>
              <w:spacing w:after="0"/>
              <w:rPr>
                <w:sz w:val="9"/>
                <w:szCs w:val="9"/>
                <w:color w:val="auto"/>
              </w:rPr>
            </w:pPr>
          </w:p>
        </w:tc>
        <w:tc>
          <w:tcPr>
            <w:tcW w:w="780" w:type="dxa"/>
            <w:vAlign w:val="bottom"/>
            <w:shd w:val="clear" w:color="auto" w:fill="DEF2FB"/>
          </w:tcPr>
          <w:p>
            <w:pPr>
              <w:spacing w:after="0"/>
              <w:rPr>
                <w:sz w:val="9"/>
                <w:szCs w:val="9"/>
                <w:color w:val="auto"/>
              </w:rPr>
            </w:pPr>
          </w:p>
        </w:tc>
        <w:tc>
          <w:tcPr>
            <w:tcW w:w="500" w:type="dxa"/>
            <w:vAlign w:val="bottom"/>
            <w:shd w:val="clear" w:color="auto" w:fill="DEF2FB"/>
          </w:tcPr>
          <w:p>
            <w:pPr>
              <w:spacing w:after="0"/>
              <w:rPr>
                <w:sz w:val="9"/>
                <w:szCs w:val="9"/>
                <w:color w:val="auto"/>
              </w:rPr>
            </w:pPr>
          </w:p>
        </w:tc>
        <w:tc>
          <w:tcPr>
            <w:tcW w:w="0" w:type="dxa"/>
            <w:vAlign w:val="bottom"/>
          </w:tcPr>
          <w:p>
            <w:pPr>
              <w:spacing w:after="0"/>
              <w:rPr>
                <w:sz w:val="1"/>
                <w:szCs w:val="1"/>
                <w:color w:val="auto"/>
              </w:rPr>
            </w:pPr>
          </w:p>
        </w:tc>
      </w:tr>
      <w:tr>
        <w:trPr>
          <w:trHeight w:val="419"/>
        </w:trPr>
        <w:tc>
          <w:tcPr>
            <w:tcW w:w="5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Broker Non-Votes: 0</w:t>
            </w:r>
          </w:p>
        </w:tc>
        <w:tc>
          <w:tcPr>
            <w:tcW w:w="1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Proposal No. 2 was approved.</w:t>
            </w:r>
          </w:p>
        </w:tc>
        <w:tc>
          <w:tcPr>
            <w:tcW w:w="1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No. 3</w:t>
      </w:r>
      <w:r>
        <w:rPr>
          <w:rFonts w:ascii="Times New Roman" w:cs="Times New Roman" w:eastAsia="Times New Roman" w:hAnsi="Times New Roman"/>
          <w:sz w:val="18"/>
          <w:szCs w:val="18"/>
          <w:color w:val="auto"/>
        </w:rPr>
        <w:t>: Advisory vote on the compensation paid to the Company’s named executive officers.</w:t>
      </w:r>
    </w:p>
    <w:p>
      <w:pPr>
        <w:sectPr>
          <w:pgSz w:w="11900" w:h="16838" w:orient="portrait"/>
          <w:cols w:equalWidth="0" w:num="1">
            <w:col w:w="11240"/>
          </w:cols>
          <w:pgMar w:left="320" w:top="1049"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200" w:right="300" w:hanging="181"/>
        <w:spacing w:after="0" w:line="282" w:lineRule="auto"/>
        <w:rPr>
          <w:sz w:val="20"/>
          <w:szCs w:val="20"/>
          <w:color w:val="auto"/>
        </w:rPr>
      </w:pPr>
      <w:r>
        <w:rPr>
          <w:rFonts w:ascii="Times New Roman" w:cs="Times New Roman" w:eastAsia="Times New Roman" w:hAnsi="Times New Roman"/>
          <w:sz w:val="18"/>
          <w:szCs w:val="18"/>
          <w:color w:val="auto"/>
        </w:rPr>
        <w:t>Non-binding vote on the compensation of the Company’s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-374015</wp:posOffset>
            </wp:positionV>
            <wp:extent cx="7132320" cy="420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20370"/>
                    </a:xfrm>
                    <a:prstGeom prst="rect">
                      <a:avLst/>
                    </a:prstGeom>
                    <a:noFill/>
                  </pic:spPr>
                </pic:pic>
              </a:graphicData>
            </a:graphic>
          </wp:anchor>
        </w:drawing>
      </w:r>
    </w:p>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Broker Non-Votes: 32,137,064</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Proposal No. 3 was approved.</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40"/>
        <w:spacing w:after="0"/>
        <w:tabs>
          <w:tab w:leader="none" w:pos="1620" w:val="left"/>
          <w:tab w:leader="none" w:pos="3500" w:val="left"/>
        </w:tabs>
        <w:rPr>
          <w:sz w:val="20"/>
          <w:szCs w:val="20"/>
          <w:color w:val="auto"/>
        </w:rPr>
      </w:pPr>
      <w:r>
        <w:rPr>
          <w:rFonts w:ascii="Times New Roman" w:cs="Times New Roman" w:eastAsia="Times New Roman" w:hAnsi="Times New Roman"/>
          <w:sz w:val="18"/>
          <w:szCs w:val="18"/>
          <w:b w:val="1"/>
          <w:bCs w:val="1"/>
          <w:u w:val="single" w:color="auto"/>
          <w:color w:val="auto"/>
        </w:rPr>
        <w:t>Votes For</w:t>
      </w:r>
      <w:r>
        <w:rPr>
          <w:sz w:val="20"/>
          <w:szCs w:val="20"/>
          <w:color w:val="auto"/>
        </w:rPr>
        <w:tab/>
      </w:r>
      <w:r>
        <w:rPr>
          <w:rFonts w:ascii="Times New Roman" w:cs="Times New Roman" w:eastAsia="Times New Roman" w:hAnsi="Times New Roman"/>
          <w:sz w:val="18"/>
          <w:szCs w:val="18"/>
          <w:b w:val="1"/>
          <w:bCs w:val="1"/>
          <w:u w:val="single" w:color="auto"/>
          <w:color w:val="auto"/>
        </w:rPr>
        <w:t>Votes Against</w:t>
      </w:r>
      <w:r>
        <w:rPr>
          <w:sz w:val="20"/>
          <w:szCs w:val="20"/>
          <w:color w:val="auto"/>
        </w:rPr>
        <w:tab/>
      </w:r>
      <w:r>
        <w:rPr>
          <w:rFonts w:ascii="Times New Roman" w:cs="Times New Roman" w:eastAsia="Times New Roman" w:hAnsi="Times New Roman"/>
          <w:sz w:val="17"/>
          <w:szCs w:val="17"/>
          <w:b w:val="1"/>
          <w:bCs w:val="1"/>
          <w:u w:val="single" w:color="auto"/>
          <w:color w:val="auto"/>
        </w:rPr>
        <w:t>Abstained</w:t>
      </w:r>
    </w:p>
    <w:p>
      <w:pPr>
        <w:spacing w:after="0" w:line="31" w:lineRule="exact"/>
        <w:rPr>
          <w:sz w:val="20"/>
          <w:szCs w:val="20"/>
          <w:color w:val="auto"/>
        </w:rPr>
      </w:pPr>
    </w:p>
    <w:p>
      <w:pPr>
        <w:spacing w:after="0"/>
        <w:tabs>
          <w:tab w:leader="none" w:pos="1780" w:val="left"/>
          <w:tab w:leader="none" w:pos="3540" w:val="left"/>
        </w:tabs>
        <w:rPr>
          <w:sz w:val="20"/>
          <w:szCs w:val="20"/>
          <w:color w:val="auto"/>
        </w:rPr>
      </w:pPr>
      <w:r>
        <w:rPr>
          <w:rFonts w:ascii="Times New Roman" w:cs="Times New Roman" w:eastAsia="Times New Roman" w:hAnsi="Times New Roman"/>
          <w:sz w:val="18"/>
          <w:szCs w:val="18"/>
          <w:color w:val="auto"/>
        </w:rPr>
        <w:t>87,521,620</w:t>
      </w:r>
      <w:r>
        <w:rPr>
          <w:sz w:val="20"/>
          <w:szCs w:val="20"/>
          <w:color w:val="auto"/>
        </w:rPr>
        <w:tab/>
      </w:r>
      <w:r>
        <w:rPr>
          <w:rFonts w:ascii="Times New Roman" w:cs="Times New Roman" w:eastAsia="Times New Roman" w:hAnsi="Times New Roman"/>
          <w:sz w:val="18"/>
          <w:szCs w:val="18"/>
          <w:color w:val="auto"/>
        </w:rPr>
        <w:t>4,202,883</w:t>
      </w:r>
      <w:r>
        <w:rPr>
          <w:sz w:val="20"/>
          <w:szCs w:val="20"/>
          <w:color w:val="auto"/>
        </w:rPr>
        <w:tab/>
      </w:r>
      <w:r>
        <w:rPr>
          <w:rFonts w:ascii="Times New Roman" w:cs="Times New Roman" w:eastAsia="Times New Roman" w:hAnsi="Times New Roman"/>
          <w:sz w:val="18"/>
          <w:szCs w:val="18"/>
          <w:color w:val="auto"/>
        </w:rPr>
        <w:t>1,486,826</w:t>
      </w:r>
    </w:p>
    <w:p>
      <w:pPr>
        <w:spacing w:after="0" w:line="1369" w:lineRule="exact"/>
        <w:rPr>
          <w:sz w:val="20"/>
          <w:szCs w:val="20"/>
          <w:color w:val="auto"/>
        </w:rPr>
      </w:pPr>
    </w:p>
    <w:p>
      <w:pPr>
        <w:sectPr>
          <w:pgSz w:w="11900" w:h="16838" w:orient="portrait"/>
          <w:cols w:equalWidth="0" w:num="2">
            <w:col w:w="5720" w:space="720"/>
            <w:col w:w="4800"/>
          </w:cols>
          <w:pgMar w:left="320" w:top="104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70" w:lineRule="exact"/>
        <w:rPr>
          <w:sz w:val="20"/>
          <w:szCs w:val="20"/>
          <w:color w:val="auto"/>
        </w:rPr>
      </w:pPr>
    </w:p>
    <w:p>
      <w:pPr>
        <w:ind w:firstLine="648"/>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2026</w:t>
      </w:r>
    </w:p>
    <w:p>
      <w:pPr>
        <w:spacing w:after="0" w:line="5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297" w:lineRule="exact"/>
        <w:rPr>
          <w:sz w:val="20"/>
          <w:szCs w:val="20"/>
          <w:color w:val="auto"/>
        </w:rPr>
      </w:pPr>
    </w:p>
    <w:tbl>
      <w:tblPr>
        <w:tblLayout w:type="fixed"/>
        <w:tblInd w:w="576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Matthew Buten</w:t>
            </w:r>
          </w:p>
        </w:tc>
      </w:tr>
      <w:tr>
        <w:trPr>
          <w:trHeight w:val="218"/>
        </w:trPr>
        <w:tc>
          <w:tcPr>
            <w:tcW w:w="840" w:type="dxa"/>
            <w:vAlign w:val="bottom"/>
          </w:tcPr>
          <w:p>
            <w:pPr>
              <w:spacing w:after="0"/>
              <w:rPr>
                <w:sz w:val="18"/>
                <w:szCs w:val="18"/>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Matthew Buten</w:t>
            </w:r>
          </w:p>
        </w:tc>
      </w:tr>
      <w:tr>
        <w:trPr>
          <w:trHeight w:val="234"/>
        </w:trPr>
        <w:tc>
          <w:tcPr>
            <w:tcW w:w="840" w:type="dxa"/>
            <w:vAlign w:val="bottom"/>
          </w:tcPr>
          <w:p>
            <w:pPr>
              <w:spacing w:after="0"/>
              <w:rPr>
                <w:sz w:val="20"/>
                <w:szCs w:val="20"/>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2026-05-04T15:06:28Z</dcterms:created>
  <dcterms:modified xsi:type="dcterms:W3CDTF">2026-05-04T15:06:28Z</dcterms:modified>
</cp:coreProperties>
</file>