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424(b)(5)</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333-274822</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October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100330</wp:posOffset>
            </wp:positionV>
            <wp:extent cx="280289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289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Up to $150,000,000</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i w:val="1"/>
          <w:iCs w:val="1"/>
          <w:color w:val="auto"/>
        </w:rPr>
        <w:t>Common Shares</w:t>
      </w:r>
    </w:p>
    <w:p>
      <w:pPr>
        <w:spacing w:after="0" w:line="195" w:lineRule="exact"/>
        <w:rPr>
          <w:sz w:val="24"/>
          <w:szCs w:val="24"/>
          <w:color w:val="auto"/>
        </w:rPr>
      </w:pPr>
    </w:p>
    <w:p>
      <w:pPr>
        <w:ind w:right="120"/>
        <w:spacing w:after="0" w:line="258" w:lineRule="auto"/>
        <w:rPr>
          <w:sz w:val="20"/>
          <w:szCs w:val="20"/>
          <w:color w:val="auto"/>
        </w:rPr>
      </w:pPr>
      <w:r>
        <w:rPr>
          <w:rFonts w:ascii="Arial" w:cs="Arial" w:eastAsia="Arial" w:hAnsi="Arial"/>
          <w:sz w:val="18"/>
          <w:szCs w:val="18"/>
          <w:color w:val="auto"/>
        </w:rPr>
        <w:t>We, Biohaven Ltd., have entered into an equity distribution agreement with J.P. Morgan Securities LLC, as our sales agent, relating to common shares offered by this prospectus supplement. In accordance with the terms of the equity distribution agreement, we may offer and sell common shares having an aggregate offering price of up to $150.0 million from time to time through or to the sales agent, acting as our agent or principal.</w:t>
      </w:r>
    </w:p>
    <w:p>
      <w:pPr>
        <w:spacing w:after="0" w:line="109" w:lineRule="exact"/>
        <w:rPr>
          <w:sz w:val="24"/>
          <w:szCs w:val="24"/>
          <w:color w:val="auto"/>
        </w:rPr>
      </w:pPr>
    </w:p>
    <w:p>
      <w:pPr>
        <w:ind w:right="480"/>
        <w:spacing w:after="0" w:line="275" w:lineRule="auto"/>
        <w:rPr>
          <w:sz w:val="20"/>
          <w:szCs w:val="20"/>
          <w:color w:val="auto"/>
        </w:rPr>
      </w:pPr>
      <w:r>
        <w:rPr>
          <w:rFonts w:ascii="Arial" w:cs="Arial" w:eastAsia="Arial" w:hAnsi="Arial"/>
          <w:sz w:val="18"/>
          <w:szCs w:val="18"/>
          <w:color w:val="auto"/>
        </w:rPr>
        <w:t>Our common shares are listed on the New York Stock Exchange under the symbol “BHVN”. The last reported sale price of our common shares on September 29, 2023 was $26.01 per common share.</w:t>
      </w:r>
    </w:p>
    <w:p>
      <w:pPr>
        <w:spacing w:after="0" w:line="106" w:lineRule="exact"/>
        <w:rPr>
          <w:sz w:val="24"/>
          <w:szCs w:val="24"/>
          <w:color w:val="auto"/>
        </w:rPr>
      </w:pPr>
    </w:p>
    <w:p>
      <w:pPr>
        <w:ind w:right="40"/>
        <w:spacing w:after="0" w:line="272" w:lineRule="auto"/>
        <w:rPr>
          <w:sz w:val="20"/>
          <w:szCs w:val="20"/>
          <w:color w:val="auto"/>
        </w:rPr>
      </w:pPr>
      <w:r>
        <w:rPr>
          <w:rFonts w:ascii="Arial" w:cs="Arial" w:eastAsia="Arial" w:hAnsi="Arial"/>
          <w:sz w:val="17"/>
          <w:szCs w:val="17"/>
          <w:color w:val="auto"/>
        </w:rPr>
        <w:t>Sales of our common shares, if any, under this prospectus supplement will be made in sales deemed to be “at the market offerings” as defined in Rule 415 promulgated under the Securities Act of 1933, as amended, or the Securities Act, in ordinary brokers’ transactions, to or through a market maker, on or through the New York Stock Exchange or any other market venue where the securities may be traded, in the over-the-counter market, in privately negotiated transactions, or through a combination of any such methods of sale. The sales agent may also sell our common shares by any other method permitted by law. The sales agent is not required to sell any specific amount of securities but will act as our sales agent using commercially reasonable efforts consistent with its normal trading and sales practices, on mutually agreed terms between the sales agent and us. There is no arrangement for funds to be received in any escrow, trust, or similar arrangement.</w:t>
      </w:r>
    </w:p>
    <w:p>
      <w:pPr>
        <w:spacing w:after="0" w:line="110"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Under the equity distribution agreement, we may also sell common shares to the sales agent as principal for their own accounts, at a price to be agreed upon at the time of sale. If we sell common shares to the sales agent as principal, we will enter into a separate terms agreement with the sales agent, and we will describe the agreement in a separate prospectus supplement or pricing supplement.</w:t>
      </w:r>
    </w:p>
    <w:p>
      <w:pPr>
        <w:spacing w:after="0" w:line="103"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The compensation to the sales agent for sales of common shares sold pursuant to the equity distribution agreement will be up to 3.00% of the gross proceeds of any common shares sold under the equity distribution agreement. In connection with the sale of the common shares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liabilities under the Securities Act or the Securities Exchange Act of 1934, as amended, or the Exchange Act.</w:t>
      </w:r>
    </w:p>
    <w:p>
      <w:pPr>
        <w:spacing w:after="0" w:line="115" w:lineRule="exact"/>
        <w:rPr>
          <w:sz w:val="24"/>
          <w:szCs w:val="24"/>
          <w:color w:val="auto"/>
        </w:rPr>
      </w:pPr>
    </w:p>
    <w:p>
      <w:pPr>
        <w:jc w:val="both"/>
        <w:ind w:right="320"/>
        <w:spacing w:after="0" w:line="268" w:lineRule="auto"/>
        <w:rPr>
          <w:sz w:val="20"/>
          <w:szCs w:val="20"/>
          <w:color w:val="auto"/>
        </w:rPr>
      </w:pPr>
      <w:r>
        <w:rPr>
          <w:rFonts w:ascii="Arial" w:cs="Arial" w:eastAsia="Arial" w:hAnsi="Arial"/>
          <w:sz w:val="18"/>
          <w:szCs w:val="18"/>
          <w:color w:val="auto"/>
        </w:rPr>
        <w:t>Investing in our common shares involves a high degree of risk. See “</w:t>
      </w:r>
      <w:r>
        <w:rPr>
          <w:rFonts w:ascii="Arial" w:cs="Arial" w:eastAsia="Arial" w:hAnsi="Arial"/>
          <w:sz w:val="18"/>
          <w:szCs w:val="18"/>
          <w:b w:val="1"/>
          <w:bCs w:val="1"/>
          <w:i w:val="1"/>
          <w:iCs w:val="1"/>
          <w:u w:val="single" w:color="auto"/>
          <w:color w:val="0000FF"/>
        </w:rPr>
        <w:t>Risk Factors</w:t>
      </w:r>
      <w:r>
        <w:rPr>
          <w:rFonts w:ascii="Arial" w:cs="Arial" w:eastAsia="Arial" w:hAnsi="Arial"/>
          <w:sz w:val="18"/>
          <w:szCs w:val="18"/>
          <w:color w:val="auto"/>
        </w:rPr>
        <w:t xml:space="preserve">” on page </w:t>
      </w:r>
      <w:r>
        <w:rPr>
          <w:rFonts w:ascii="Arial" w:cs="Arial" w:eastAsia="Arial" w:hAnsi="Arial"/>
          <w:sz w:val="18"/>
          <w:szCs w:val="18"/>
          <w:u w:val="single" w:color="auto"/>
          <w:color w:val="0000FF"/>
        </w:rPr>
        <w:t>S-7</w:t>
      </w:r>
      <w:r>
        <w:rPr>
          <w:rFonts w:ascii="Arial" w:cs="Arial" w:eastAsia="Arial" w:hAnsi="Arial"/>
          <w:sz w:val="18"/>
          <w:szCs w:val="18"/>
          <w:color w:val="auto"/>
        </w:rPr>
        <w:t xml:space="preserve"> of this prospectus supplement and in the documents incorporated by reference into this prospectus supplement and the accompanying prospectus before investing in our common shares.</w:t>
      </w:r>
    </w:p>
    <w:p>
      <w:pPr>
        <w:spacing w:after="0" w:line="100"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J.P. Morgan</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October 2, 2023</w:t>
      </w:r>
    </w:p>
    <w:p>
      <w:pPr>
        <w:sectPr>
          <w:pgSz w:w="11900" w:h="16838" w:orient="portrait"/>
          <w:cols w:equalWidth="0" w:num="1">
            <w:col w:w="11240"/>
          </w:cols>
          <w:pgMar w:left="320" w:top="1021" w:right="339" w:bottom="1440" w:gutter="0" w:footer="0" w:header="0"/>
        </w:sectPr>
      </w:pPr>
    </w:p>
    <w:bookmarkStart w:id="1" w:name="page2"/>
    <w:bookmarkEnd w:id="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40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60" w:type="dxa"/>
            <w:vAlign w:val="bottom"/>
            <w:gridSpan w:val="5"/>
          </w:tcPr>
          <w:p>
            <w:pPr>
              <w:jc w:val="center"/>
              <w:ind w:right="1560"/>
              <w:spacing w:after="0"/>
              <w:rPr>
                <w:sz w:val="20"/>
                <w:szCs w:val="20"/>
                <w:color w:val="auto"/>
              </w:rPr>
            </w:pPr>
            <w:r>
              <w:rPr>
                <w:rFonts w:ascii="Arial" w:cs="Arial" w:eastAsia="Arial" w:hAnsi="Arial"/>
                <w:sz w:val="29"/>
                <w:szCs w:val="29"/>
                <w:b w:val="1"/>
                <w:bCs w:val="1"/>
                <w:color w:val="auto"/>
                <w:w w:val="98"/>
              </w:rPr>
              <w:t>TABLE OF CONTENTS</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20" w:type="dxa"/>
            <w:vAlign w:val="bottom"/>
            <w:gridSpan w:val="4"/>
          </w:tcPr>
          <w:p>
            <w:pPr>
              <w:jc w:val="center"/>
              <w:ind w:right="2080"/>
              <w:spacing w:after="0"/>
              <w:rPr>
                <w:sz w:val="20"/>
                <w:szCs w:val="20"/>
                <w:color w:val="auto"/>
              </w:rPr>
            </w:pPr>
            <w:r>
              <w:rPr>
                <w:rFonts w:ascii="Arial" w:cs="Arial" w:eastAsia="Arial" w:hAnsi="Arial"/>
                <w:sz w:val="18"/>
                <w:szCs w:val="18"/>
                <w:b w:val="1"/>
                <w:bCs w:val="1"/>
                <w:color w:val="auto"/>
                <w:w w:val="99"/>
              </w:rPr>
              <w:t>Prospectus Supplement</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8860" w:type="dxa"/>
            <w:vAlign w:val="bottom"/>
            <w:gridSpan w:val="22"/>
          </w:tcPr>
          <w:p>
            <w:pPr>
              <w:spacing w:after="0" w:line="189" w:lineRule="exact"/>
              <w:rPr>
                <w:sz w:val="20"/>
                <w:szCs w:val="20"/>
                <w:color w:val="auto"/>
              </w:rPr>
            </w:pPr>
            <w:r>
              <w:rPr>
                <w:rFonts w:ascii="Arial" w:cs="Arial" w:eastAsia="Arial" w:hAnsi="Arial"/>
                <w:sz w:val="18"/>
                <w:szCs w:val="18"/>
                <w:color w:val="0000FF"/>
              </w:rPr>
              <w:t>ABOUT THIS PROSPECTUS SUPPLEMENT</w:t>
            </w: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w w:val="92"/>
              </w:rPr>
              <w:t>S-1</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15"/>
          </w:tcPr>
          <w:p>
            <w:pPr>
              <w:spacing w:after="0"/>
              <w:rPr>
                <w:sz w:val="20"/>
                <w:szCs w:val="20"/>
                <w:color w:val="auto"/>
              </w:rPr>
            </w:pPr>
            <w:r>
              <w:rPr>
                <w:rFonts w:ascii="Arial" w:cs="Arial" w:eastAsia="Arial" w:hAnsi="Arial"/>
                <w:sz w:val="18"/>
                <w:szCs w:val="18"/>
                <w:color w:val="0000FF"/>
              </w:rPr>
              <w:t>PROSPECTUS SUPPLEMENT SUMMARY</w:t>
            </w:r>
          </w:p>
        </w:tc>
        <w:tc>
          <w:tcPr>
            <w:tcW w:w="5220" w:type="dxa"/>
            <w:vAlign w:val="bottom"/>
            <w:gridSpan w:val="7"/>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92"/>
              </w:rPr>
              <w:t>S-2</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0000FF"/>
                <w:w w:val="95"/>
              </w:rPr>
              <w:t>THE OFFERING</w:t>
            </w:r>
          </w:p>
        </w:tc>
        <w:tc>
          <w:tcPr>
            <w:tcW w:w="2160" w:type="dxa"/>
            <w:vAlign w:val="bottom"/>
            <w:gridSpan w:val="11"/>
          </w:tcPr>
          <w:p>
            <w:pPr>
              <w:spacing w:after="0"/>
              <w:rPr>
                <w:sz w:val="18"/>
                <w:szCs w:val="18"/>
                <w:color w:val="auto"/>
              </w:rPr>
            </w:pPr>
          </w:p>
        </w:tc>
        <w:tc>
          <w:tcPr>
            <w:tcW w:w="5380" w:type="dxa"/>
            <w:vAlign w:val="bottom"/>
            <w:gridSpan w:val="9"/>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92"/>
              </w:rPr>
              <w:t>S-6</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0000FF"/>
                <w:w w:val="96"/>
              </w:rPr>
              <w:t>RISK FACTORS</w:t>
            </w:r>
          </w:p>
        </w:tc>
        <w:tc>
          <w:tcPr>
            <w:tcW w:w="7540" w:type="dxa"/>
            <w:vAlign w:val="bottom"/>
            <w:gridSpan w:val="20"/>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92"/>
              </w:rPr>
              <w:t>S-7</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0"/>
          </w:tcPr>
          <w:p>
            <w:pPr>
              <w:spacing w:after="0"/>
              <w:rPr>
                <w:sz w:val="20"/>
                <w:szCs w:val="20"/>
                <w:color w:val="auto"/>
              </w:rPr>
            </w:pPr>
            <w:r>
              <w:rPr>
                <w:rFonts w:ascii="Arial" w:cs="Arial" w:eastAsia="Arial" w:hAnsi="Arial"/>
                <w:sz w:val="18"/>
                <w:szCs w:val="18"/>
                <w:color w:val="0000FF"/>
                <w:w w:val="99"/>
              </w:rPr>
              <w:t>SPECIAL NOTE REGARDING FORWARD-LOOKING STATEMENTS</w:t>
            </w:r>
          </w:p>
        </w:tc>
        <w:tc>
          <w:tcPr>
            <w:tcW w:w="332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S-11</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0000FF"/>
                <w:w w:val="99"/>
              </w:rPr>
              <w:t>USE OF PROCEEDS</w:t>
            </w:r>
          </w:p>
        </w:tc>
        <w:tc>
          <w:tcPr>
            <w:tcW w:w="3800" w:type="dxa"/>
            <w:vAlign w:val="bottom"/>
            <w:gridSpan w:val="17"/>
          </w:tcPr>
          <w:p>
            <w:pPr>
              <w:spacing w:after="0"/>
              <w:rPr>
                <w:sz w:val="18"/>
                <w:szCs w:val="18"/>
                <w:color w:val="auto"/>
              </w:rPr>
            </w:pPr>
          </w:p>
        </w:tc>
        <w:tc>
          <w:tcPr>
            <w:tcW w:w="3320" w:type="dxa"/>
            <w:vAlign w:val="bottom"/>
            <w:gridSpan w:val="2"/>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S-13</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0000FF"/>
                <w:w w:val="95"/>
              </w:rPr>
              <w:t>DILUTION</w:t>
            </w:r>
          </w:p>
        </w:tc>
        <w:tc>
          <w:tcPr>
            <w:tcW w:w="900" w:type="dxa"/>
            <w:vAlign w:val="bottom"/>
            <w:gridSpan w:val="2"/>
          </w:tcPr>
          <w:p>
            <w:pPr>
              <w:spacing w:after="0"/>
              <w:rPr>
                <w:sz w:val="18"/>
                <w:szCs w:val="18"/>
                <w:color w:val="auto"/>
              </w:rPr>
            </w:pPr>
          </w:p>
        </w:tc>
        <w:tc>
          <w:tcPr>
            <w:tcW w:w="7120" w:type="dxa"/>
            <w:vAlign w:val="bottom"/>
            <w:gridSpan w:val="19"/>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S-14</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MATERIAL UNITED STATES FEDERAL INCOME TAX CONSIDERATIONS</w:t>
            </w: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S-15</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8"/>
                <w:szCs w:val="18"/>
                <w:color w:val="0000FF"/>
                <w:w w:val="99"/>
              </w:rPr>
              <w:t>PLAN OF DISTRIBUTION</w:t>
            </w:r>
          </w:p>
        </w:tc>
        <w:tc>
          <w:tcPr>
            <w:tcW w:w="3920" w:type="dxa"/>
            <w:vAlign w:val="bottom"/>
            <w:gridSpan w:val="17"/>
          </w:tcPr>
          <w:p>
            <w:pPr>
              <w:spacing w:after="0"/>
              <w:rPr>
                <w:sz w:val="18"/>
                <w:szCs w:val="18"/>
                <w:color w:val="auto"/>
              </w:rPr>
            </w:pPr>
          </w:p>
        </w:tc>
        <w:tc>
          <w:tcPr>
            <w:tcW w:w="2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S-21</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10"/>
          </w:tcPr>
          <w:p>
            <w:pPr>
              <w:spacing w:after="0"/>
              <w:rPr>
                <w:sz w:val="20"/>
                <w:szCs w:val="20"/>
                <w:color w:val="auto"/>
              </w:rPr>
            </w:pPr>
            <w:r>
              <w:rPr>
                <w:rFonts w:ascii="Arial" w:cs="Arial" w:eastAsia="Arial" w:hAnsi="Arial"/>
                <w:sz w:val="18"/>
                <w:szCs w:val="18"/>
                <w:color w:val="0000FF"/>
                <w:w w:val="99"/>
              </w:rPr>
              <w:t>VALIDITY OF COMMON SHARES</w:t>
            </w:r>
          </w:p>
        </w:tc>
        <w:tc>
          <w:tcPr>
            <w:tcW w:w="6080" w:type="dxa"/>
            <w:vAlign w:val="bottom"/>
            <w:gridSpan w:val="12"/>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S-30</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10"/>
          </w:tcPr>
          <w:p>
            <w:pPr>
              <w:spacing w:after="0"/>
              <w:rPr>
                <w:sz w:val="20"/>
                <w:szCs w:val="20"/>
                <w:color w:val="auto"/>
              </w:rPr>
            </w:pPr>
            <w:r>
              <w:rPr>
                <w:rFonts w:ascii="Arial" w:cs="Arial" w:eastAsia="Arial" w:hAnsi="Arial"/>
                <w:sz w:val="18"/>
                <w:szCs w:val="18"/>
                <w:color w:val="0000FF"/>
              </w:rPr>
              <w:t>EXPERTS</w:t>
            </w:r>
          </w:p>
        </w:tc>
        <w:tc>
          <w:tcPr>
            <w:tcW w:w="6080" w:type="dxa"/>
            <w:vAlign w:val="bottom"/>
            <w:gridSpan w:val="12"/>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S-30</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WHERE YOU CAN FIND MORE INFORMATION</w:t>
            </w: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S-31</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INCORPORATION OF CERTAIN INFORMATION BY REFERENCE</w:t>
            </w:r>
          </w:p>
        </w:tc>
        <w:tc>
          <w:tcPr>
            <w:tcW w:w="1960" w:type="dxa"/>
            <w:vAlign w:val="bottom"/>
          </w:tcPr>
          <w:p>
            <w:pPr>
              <w:spacing w:after="0"/>
              <w:rPr>
                <w:sz w:val="18"/>
                <w:szCs w:val="18"/>
                <w:color w:val="auto"/>
              </w:rPr>
            </w:pPr>
          </w:p>
        </w:tc>
        <w:tc>
          <w:tcPr>
            <w:tcW w:w="400" w:type="dxa"/>
            <w:vAlign w:val="bottom"/>
            <w:gridSpan w:val="6"/>
          </w:tcPr>
          <w:p>
            <w:pPr>
              <w:jc w:val="right"/>
              <w:ind w:right="20"/>
              <w:spacing w:after="0"/>
              <w:rPr>
                <w:sz w:val="20"/>
                <w:szCs w:val="20"/>
                <w:color w:val="auto"/>
              </w:rPr>
            </w:pPr>
            <w:r>
              <w:rPr>
                <w:rFonts w:ascii="Arial" w:cs="Arial" w:eastAsia="Arial" w:hAnsi="Arial"/>
                <w:sz w:val="18"/>
                <w:szCs w:val="18"/>
                <w:color w:val="0000FF"/>
                <w:w w:val="94"/>
              </w:rPr>
              <w:t>S-32</w:t>
            </w:r>
          </w:p>
        </w:tc>
      </w:tr>
      <w:tr>
        <w:trPr>
          <w:trHeight w:val="74"/>
        </w:trPr>
        <w:tc>
          <w:tcPr>
            <w:tcW w:w="20" w:type="dxa"/>
            <w:vAlign w:val="bottom"/>
            <w:tcBorders>
              <w:bottom w:val="single" w:sz="8" w:color="auto"/>
            </w:tcBorders>
          </w:tcPr>
          <w:p>
            <w:pPr>
              <w:spacing w:after="0"/>
              <w:rPr>
                <w:sz w:val="6"/>
                <w:szCs w:val="6"/>
                <w:color w:val="auto"/>
              </w:rPr>
            </w:pPr>
          </w:p>
        </w:tc>
        <w:tc>
          <w:tcPr>
            <w:tcW w:w="840" w:type="dxa"/>
            <w:vAlign w:val="bottom"/>
            <w:tcBorders>
              <w:top w:val="single" w:sz="8" w:color="0000FF"/>
              <w:bottom w:val="single" w:sz="8" w:color="auto"/>
            </w:tcBorders>
          </w:tcPr>
          <w:p>
            <w:pPr>
              <w:spacing w:after="0"/>
              <w:rPr>
                <w:sz w:val="6"/>
                <w:szCs w:val="6"/>
                <w:color w:val="auto"/>
              </w:rPr>
            </w:pPr>
          </w:p>
        </w:tc>
        <w:tc>
          <w:tcPr>
            <w:tcW w:w="480" w:type="dxa"/>
            <w:vAlign w:val="bottom"/>
            <w:tcBorders>
              <w:top w:val="single" w:sz="8" w:color="0000FF"/>
              <w:bottom w:val="single" w:sz="8" w:color="auto"/>
            </w:tcBorders>
          </w:tcPr>
          <w:p>
            <w:pPr>
              <w:spacing w:after="0"/>
              <w:rPr>
                <w:sz w:val="6"/>
                <w:szCs w:val="6"/>
                <w:color w:val="auto"/>
              </w:rPr>
            </w:pPr>
          </w:p>
        </w:tc>
        <w:tc>
          <w:tcPr>
            <w:tcW w:w="420" w:type="dxa"/>
            <w:vAlign w:val="bottom"/>
            <w:tcBorders>
              <w:top w:val="single" w:sz="8" w:color="0000FF"/>
              <w:bottom w:val="single" w:sz="8" w:color="auto"/>
            </w:tcBorders>
          </w:tcPr>
          <w:p>
            <w:pPr>
              <w:spacing w:after="0"/>
              <w:rPr>
                <w:sz w:val="6"/>
                <w:szCs w:val="6"/>
                <w:color w:val="auto"/>
              </w:rPr>
            </w:pPr>
          </w:p>
        </w:tc>
        <w:tc>
          <w:tcPr>
            <w:tcW w:w="360" w:type="dxa"/>
            <w:vAlign w:val="bottom"/>
            <w:tcBorders>
              <w:top w:val="single" w:sz="8" w:color="0000FF"/>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220" w:type="dxa"/>
            <w:vAlign w:val="bottom"/>
            <w:tcBorders>
              <w:top w:val="single" w:sz="8" w:color="0000FF"/>
              <w:bottom w:val="single" w:sz="8" w:color="auto"/>
            </w:tcBorders>
          </w:tcPr>
          <w:p>
            <w:pPr>
              <w:spacing w:after="0"/>
              <w:rPr>
                <w:sz w:val="6"/>
                <w:szCs w:val="6"/>
                <w:color w:val="auto"/>
              </w:rPr>
            </w:pPr>
          </w:p>
        </w:tc>
        <w:tc>
          <w:tcPr>
            <w:tcW w:w="180" w:type="dxa"/>
            <w:vAlign w:val="bottom"/>
            <w:tcBorders>
              <w:top w:val="single" w:sz="8" w:color="0000FF"/>
              <w:bottom w:val="single" w:sz="8" w:color="auto"/>
            </w:tcBorders>
          </w:tcPr>
          <w:p>
            <w:pPr>
              <w:spacing w:after="0"/>
              <w:rPr>
                <w:sz w:val="6"/>
                <w:szCs w:val="6"/>
                <w:color w:val="auto"/>
              </w:rPr>
            </w:pPr>
          </w:p>
        </w:tc>
        <w:tc>
          <w:tcPr>
            <w:tcW w:w="220" w:type="dxa"/>
            <w:vAlign w:val="bottom"/>
            <w:tcBorders>
              <w:top w:val="single" w:sz="8" w:color="0000FF"/>
              <w:bottom w:val="single" w:sz="8" w:color="auto"/>
            </w:tcBorders>
          </w:tcPr>
          <w:p>
            <w:pPr>
              <w:spacing w:after="0"/>
              <w:rPr>
                <w:sz w:val="6"/>
                <w:szCs w:val="6"/>
                <w:color w:val="auto"/>
              </w:rPr>
            </w:pPr>
          </w:p>
        </w:tc>
        <w:tc>
          <w:tcPr>
            <w:tcW w:w="200" w:type="dxa"/>
            <w:vAlign w:val="bottom"/>
            <w:tcBorders>
              <w:top w:val="single" w:sz="8" w:color="0000FF"/>
              <w:bottom w:val="single" w:sz="8" w:color="auto"/>
            </w:tcBorders>
          </w:tcPr>
          <w:p>
            <w:pPr>
              <w:spacing w:after="0"/>
              <w:rPr>
                <w:sz w:val="6"/>
                <w:szCs w:val="6"/>
                <w:color w:val="auto"/>
              </w:rPr>
            </w:pPr>
          </w:p>
        </w:tc>
        <w:tc>
          <w:tcPr>
            <w:tcW w:w="280" w:type="dxa"/>
            <w:vAlign w:val="bottom"/>
            <w:tcBorders>
              <w:top w:val="single" w:sz="8" w:color="0000FF"/>
              <w:bottom w:val="single" w:sz="8" w:color="auto"/>
            </w:tcBorders>
          </w:tcPr>
          <w:p>
            <w:pPr>
              <w:spacing w:after="0"/>
              <w:rPr>
                <w:sz w:val="6"/>
                <w:szCs w:val="6"/>
                <w:color w:val="auto"/>
              </w:rPr>
            </w:pPr>
          </w:p>
        </w:tc>
        <w:tc>
          <w:tcPr>
            <w:tcW w:w="4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120" w:type="dxa"/>
            <w:vAlign w:val="bottom"/>
            <w:tcBorders>
              <w:top w:val="single" w:sz="8" w:color="0000FF"/>
              <w:bottom w:val="single" w:sz="8" w:color="auto"/>
            </w:tcBorders>
          </w:tcPr>
          <w:p>
            <w:pPr>
              <w:spacing w:after="0"/>
              <w:rPr>
                <w:sz w:val="6"/>
                <w:szCs w:val="6"/>
                <w:color w:val="auto"/>
              </w:rPr>
            </w:pPr>
          </w:p>
        </w:tc>
        <w:tc>
          <w:tcPr>
            <w:tcW w:w="140" w:type="dxa"/>
            <w:vAlign w:val="bottom"/>
            <w:tcBorders>
              <w:top w:val="single" w:sz="8" w:color="0000FF"/>
              <w:bottom w:val="single" w:sz="8" w:color="auto"/>
            </w:tcBorders>
          </w:tcPr>
          <w:p>
            <w:pPr>
              <w:spacing w:after="0"/>
              <w:rPr>
                <w:sz w:val="6"/>
                <w:szCs w:val="6"/>
                <w:color w:val="auto"/>
              </w:rPr>
            </w:pPr>
          </w:p>
        </w:tc>
        <w:tc>
          <w:tcPr>
            <w:tcW w:w="540" w:type="dxa"/>
            <w:vAlign w:val="bottom"/>
            <w:tcBorders>
              <w:top w:val="single" w:sz="8" w:color="0000FF"/>
              <w:bottom w:val="single" w:sz="8" w:color="auto"/>
            </w:tcBorders>
          </w:tcPr>
          <w:p>
            <w:pPr>
              <w:spacing w:after="0"/>
              <w:rPr>
                <w:sz w:val="6"/>
                <w:szCs w:val="6"/>
                <w:color w:val="auto"/>
              </w:rPr>
            </w:pPr>
          </w:p>
        </w:tc>
        <w:tc>
          <w:tcPr>
            <w:tcW w:w="940" w:type="dxa"/>
            <w:vAlign w:val="bottom"/>
            <w:tcBorders>
              <w:top w:val="single" w:sz="8" w:color="0000FF"/>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80" w:type="dxa"/>
            <w:vAlign w:val="bottom"/>
            <w:tcBorders>
              <w:top w:val="single" w:sz="8" w:color="0000FF"/>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46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20" w:type="dxa"/>
            <w:vAlign w:val="bottom"/>
            <w:gridSpan w:val="4"/>
          </w:tcPr>
          <w:p>
            <w:pPr>
              <w:jc w:val="center"/>
              <w:ind w:right="2080"/>
              <w:spacing w:after="0"/>
              <w:rPr>
                <w:sz w:val="20"/>
                <w:szCs w:val="20"/>
                <w:color w:val="auto"/>
              </w:rPr>
            </w:pPr>
            <w:r>
              <w:rPr>
                <w:rFonts w:ascii="Arial" w:cs="Arial" w:eastAsia="Arial" w:hAnsi="Arial"/>
                <w:sz w:val="18"/>
                <w:szCs w:val="18"/>
                <w:b w:val="1"/>
                <w:bCs w:val="1"/>
                <w:color w:val="auto"/>
                <w:w w:val="99"/>
              </w:rPr>
              <w:t>Prospectus</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680" w:type="dxa"/>
            <w:vAlign w:val="bottom"/>
            <w:tcBorders>
              <w:bottom w:val="single" w:sz="8" w:color="auto"/>
            </w:tcBorders>
            <w:gridSpan w:val="2"/>
          </w:tcPr>
          <w:p>
            <w:pPr>
              <w:spacing w:after="0"/>
              <w:rPr>
                <w:sz w:val="13"/>
                <w:szCs w:val="13"/>
                <w:color w:val="auto"/>
              </w:rPr>
            </w:pPr>
          </w:p>
        </w:tc>
        <w:tc>
          <w:tcPr>
            <w:tcW w:w="4420" w:type="dxa"/>
            <w:vAlign w:val="bottom"/>
            <w:tcBorders>
              <w:bottom w:val="single" w:sz="8" w:color="auto"/>
            </w:tcBorders>
            <w:gridSpan w:val="4"/>
          </w:tcPr>
          <w:p>
            <w:pPr>
              <w:spacing w:after="0"/>
              <w:rPr>
                <w:sz w:val="13"/>
                <w:szCs w:val="13"/>
                <w:color w:val="auto"/>
              </w:rPr>
            </w:pPr>
          </w:p>
        </w:tc>
        <w:tc>
          <w:tcPr>
            <w:tcW w:w="2140" w:type="dxa"/>
            <w:vAlign w:val="bottom"/>
            <w:tcBorders>
              <w:bottom w:val="single" w:sz="8" w:color="auto"/>
            </w:tcBorders>
            <w:gridSpan w:val="4"/>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gridSpan w:val="2"/>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2380" w:type="dxa"/>
            <w:vAlign w:val="bottom"/>
            <w:gridSpan w:val="8"/>
          </w:tcPr>
          <w:p>
            <w:pPr>
              <w:spacing w:after="0" w:line="189" w:lineRule="exact"/>
              <w:rPr>
                <w:sz w:val="20"/>
                <w:szCs w:val="20"/>
                <w:color w:val="auto"/>
              </w:rPr>
            </w:pPr>
            <w:r>
              <w:rPr>
                <w:rFonts w:ascii="Arial" w:cs="Arial" w:eastAsia="Arial" w:hAnsi="Arial"/>
                <w:sz w:val="18"/>
                <w:szCs w:val="18"/>
                <w:color w:val="0000FF"/>
                <w:w w:val="99"/>
              </w:rPr>
              <w:t>ABOUT THIS PROSPECTUS</w:t>
            </w:r>
          </w:p>
        </w:tc>
        <w:tc>
          <w:tcPr>
            <w:tcW w:w="6480" w:type="dxa"/>
            <w:vAlign w:val="bottom"/>
            <w:gridSpan w:val="14"/>
          </w:tcPr>
          <w:p>
            <w:pPr>
              <w:spacing w:after="0"/>
              <w:rPr>
                <w:sz w:val="16"/>
                <w:szCs w:val="16"/>
                <w:color w:val="auto"/>
              </w:rPr>
            </w:pPr>
          </w:p>
        </w:tc>
        <w:tc>
          <w:tcPr>
            <w:tcW w:w="2240" w:type="dxa"/>
            <w:vAlign w:val="bottom"/>
            <w:gridSpan w:val="5"/>
          </w:tcPr>
          <w:p>
            <w:pPr>
              <w:spacing w:after="0"/>
              <w:rPr>
                <w:sz w:val="16"/>
                <w:szCs w:val="16"/>
                <w:color w:val="auto"/>
              </w:rPr>
            </w:pP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1</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0"/>
          </w:tcPr>
          <w:p>
            <w:pPr>
              <w:spacing w:after="0"/>
              <w:rPr>
                <w:sz w:val="20"/>
                <w:szCs w:val="20"/>
                <w:color w:val="auto"/>
              </w:rPr>
            </w:pPr>
            <w:r>
              <w:rPr>
                <w:rFonts w:ascii="Arial" w:cs="Arial" w:eastAsia="Arial" w:hAnsi="Arial"/>
                <w:sz w:val="18"/>
                <w:szCs w:val="18"/>
                <w:color w:val="0000FF"/>
                <w:w w:val="99"/>
              </w:rPr>
              <w:t>SPECIAL NOTE REGARDING FORWARD-LOOKING STATEMENTS</w:t>
            </w:r>
          </w:p>
        </w:tc>
        <w:tc>
          <w:tcPr>
            <w:tcW w:w="3320" w:type="dxa"/>
            <w:vAlign w:val="bottom"/>
            <w:gridSpan w:val="2"/>
          </w:tcPr>
          <w:p>
            <w:pPr>
              <w:spacing w:after="0"/>
              <w:rPr>
                <w:sz w:val="18"/>
                <w:szCs w:val="18"/>
                <w:color w:val="auto"/>
              </w:rPr>
            </w:pPr>
          </w:p>
        </w:tc>
        <w:tc>
          <w:tcPr>
            <w:tcW w:w="2240" w:type="dxa"/>
            <w:vAlign w:val="bottom"/>
            <w:gridSpan w:val="5"/>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0"/>
          </w:tcPr>
          <w:p>
            <w:pPr>
              <w:spacing w:after="0"/>
              <w:rPr>
                <w:sz w:val="20"/>
                <w:szCs w:val="20"/>
                <w:color w:val="auto"/>
              </w:rPr>
            </w:pPr>
            <w:r>
              <w:rPr>
                <w:rFonts w:ascii="Arial" w:cs="Arial" w:eastAsia="Arial" w:hAnsi="Arial"/>
                <w:sz w:val="18"/>
                <w:szCs w:val="18"/>
                <w:color w:val="0000FF"/>
              </w:rPr>
              <w:t>WHERE YOU CAN FIND ADDITIONAL INFORMATION</w:t>
            </w:r>
          </w:p>
        </w:tc>
        <w:tc>
          <w:tcPr>
            <w:tcW w:w="3320" w:type="dxa"/>
            <w:vAlign w:val="bottom"/>
            <w:gridSpan w:val="2"/>
          </w:tcPr>
          <w:p>
            <w:pPr>
              <w:spacing w:after="0"/>
              <w:rPr>
                <w:sz w:val="18"/>
                <w:szCs w:val="18"/>
                <w:color w:val="auto"/>
              </w:rPr>
            </w:pPr>
          </w:p>
        </w:tc>
        <w:tc>
          <w:tcPr>
            <w:tcW w:w="2240" w:type="dxa"/>
            <w:vAlign w:val="bottom"/>
            <w:gridSpan w:val="5"/>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4</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INCORPORATION OF CERTAIN INFORMATION BY REFERENCE</w:t>
            </w:r>
          </w:p>
        </w:tc>
        <w:tc>
          <w:tcPr>
            <w:tcW w:w="2360" w:type="dxa"/>
            <w:vAlign w:val="bottom"/>
            <w:gridSpan w:val="7"/>
          </w:tcPr>
          <w:p>
            <w:pPr>
              <w:jc w:val="right"/>
              <w:ind w:right="20"/>
              <w:spacing w:after="0"/>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0000FF"/>
                <w:w w:val="96"/>
              </w:rPr>
              <w:t>RISK FACTORS</w:t>
            </w:r>
          </w:p>
        </w:tc>
        <w:tc>
          <w:tcPr>
            <w:tcW w:w="4060" w:type="dxa"/>
            <w:vAlign w:val="bottom"/>
            <w:gridSpan w:val="17"/>
          </w:tcPr>
          <w:p>
            <w:pPr>
              <w:spacing w:after="0"/>
              <w:rPr>
                <w:sz w:val="18"/>
                <w:szCs w:val="18"/>
                <w:color w:val="auto"/>
              </w:rPr>
            </w:pPr>
          </w:p>
        </w:tc>
        <w:tc>
          <w:tcPr>
            <w:tcW w:w="3480" w:type="dxa"/>
            <w:vAlign w:val="bottom"/>
            <w:gridSpan w:val="3"/>
          </w:tcPr>
          <w:p>
            <w:pPr>
              <w:spacing w:after="0"/>
              <w:rPr>
                <w:sz w:val="18"/>
                <w:szCs w:val="18"/>
                <w:color w:val="auto"/>
              </w:rPr>
            </w:pPr>
          </w:p>
        </w:tc>
        <w:tc>
          <w:tcPr>
            <w:tcW w:w="2240" w:type="dxa"/>
            <w:vAlign w:val="bottom"/>
            <w:gridSpan w:val="5"/>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0000FF"/>
                <w:w w:val="96"/>
              </w:rPr>
              <w:t>THE COMPANY</w:t>
            </w:r>
          </w:p>
        </w:tc>
        <w:tc>
          <w:tcPr>
            <w:tcW w:w="7540" w:type="dxa"/>
            <w:vAlign w:val="bottom"/>
            <w:gridSpan w:val="20"/>
          </w:tcPr>
          <w:p>
            <w:pPr>
              <w:spacing w:after="0"/>
              <w:rPr>
                <w:sz w:val="18"/>
                <w:szCs w:val="18"/>
                <w:color w:val="auto"/>
              </w:rPr>
            </w:pPr>
          </w:p>
        </w:tc>
        <w:tc>
          <w:tcPr>
            <w:tcW w:w="2240" w:type="dxa"/>
            <w:vAlign w:val="bottom"/>
            <w:gridSpan w:val="5"/>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color w:val="0000FF"/>
                <w:w w:val="99"/>
              </w:rPr>
              <w:t>USE OF PROCEEDS</w:t>
            </w:r>
          </w:p>
        </w:tc>
        <w:tc>
          <w:tcPr>
            <w:tcW w:w="7120" w:type="dxa"/>
            <w:vAlign w:val="bottom"/>
            <w:gridSpan w:val="19"/>
          </w:tcPr>
          <w:p>
            <w:pPr>
              <w:spacing w:after="0"/>
              <w:rPr>
                <w:sz w:val="18"/>
                <w:szCs w:val="18"/>
                <w:color w:val="auto"/>
              </w:rPr>
            </w:pPr>
          </w:p>
        </w:tc>
        <w:tc>
          <w:tcPr>
            <w:tcW w:w="2240" w:type="dxa"/>
            <w:vAlign w:val="bottom"/>
            <w:gridSpan w:val="5"/>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8"/>
                <w:szCs w:val="18"/>
                <w:color w:val="0000FF"/>
                <w:w w:val="99"/>
              </w:rPr>
              <w:t>DESCRIPTION OF SHARE CAPITAL</w:t>
            </w:r>
          </w:p>
        </w:tc>
        <w:tc>
          <w:tcPr>
            <w:tcW w:w="5860" w:type="dxa"/>
            <w:vAlign w:val="bottom"/>
            <w:gridSpan w:val="11"/>
          </w:tcPr>
          <w:p>
            <w:pPr>
              <w:spacing w:after="0"/>
              <w:rPr>
                <w:sz w:val="18"/>
                <w:szCs w:val="18"/>
                <w:color w:val="auto"/>
              </w:rPr>
            </w:pPr>
          </w:p>
        </w:tc>
        <w:tc>
          <w:tcPr>
            <w:tcW w:w="2240" w:type="dxa"/>
            <w:vAlign w:val="bottom"/>
            <w:gridSpan w:val="5"/>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14"/>
          </w:tcPr>
          <w:p>
            <w:pPr>
              <w:spacing w:after="0"/>
              <w:rPr>
                <w:sz w:val="20"/>
                <w:szCs w:val="20"/>
                <w:color w:val="auto"/>
              </w:rPr>
            </w:pPr>
            <w:r>
              <w:rPr>
                <w:rFonts w:ascii="Arial" w:cs="Arial" w:eastAsia="Arial" w:hAnsi="Arial"/>
                <w:sz w:val="18"/>
                <w:szCs w:val="18"/>
                <w:color w:val="0000FF"/>
                <w:w w:val="99"/>
              </w:rPr>
              <w:t>DESCRIPTION OF DEPOSITARY SHARES</w:t>
            </w:r>
          </w:p>
        </w:tc>
        <w:tc>
          <w:tcPr>
            <w:tcW w:w="5340" w:type="dxa"/>
            <w:vAlign w:val="bottom"/>
            <w:gridSpan w:val="8"/>
          </w:tcPr>
          <w:p>
            <w:pPr>
              <w:spacing w:after="0"/>
              <w:rPr>
                <w:sz w:val="18"/>
                <w:szCs w:val="18"/>
                <w:color w:val="auto"/>
              </w:rPr>
            </w:pPr>
          </w:p>
        </w:tc>
        <w:tc>
          <w:tcPr>
            <w:tcW w:w="2140" w:type="dxa"/>
            <w:vAlign w:val="bottom"/>
            <w:gridSpan w:val="4"/>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19</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12"/>
          </w:tcPr>
          <w:p>
            <w:pPr>
              <w:spacing w:after="0"/>
              <w:rPr>
                <w:sz w:val="20"/>
                <w:szCs w:val="20"/>
                <w:color w:val="auto"/>
              </w:rPr>
            </w:pPr>
            <w:r>
              <w:rPr>
                <w:rFonts w:ascii="Arial" w:cs="Arial" w:eastAsia="Arial" w:hAnsi="Arial"/>
                <w:sz w:val="18"/>
                <w:szCs w:val="18"/>
                <w:color w:val="0000FF"/>
                <w:w w:val="99"/>
              </w:rPr>
              <w:t>DESCRIPTION OF DEBT SECURITIES</w:t>
            </w:r>
          </w:p>
        </w:tc>
        <w:tc>
          <w:tcPr>
            <w:tcW w:w="320" w:type="dxa"/>
            <w:vAlign w:val="bottom"/>
            <w:gridSpan w:val="2"/>
          </w:tcPr>
          <w:p>
            <w:pPr>
              <w:spacing w:after="0"/>
              <w:rPr>
                <w:sz w:val="18"/>
                <w:szCs w:val="18"/>
                <w:color w:val="auto"/>
              </w:rPr>
            </w:pPr>
          </w:p>
        </w:tc>
        <w:tc>
          <w:tcPr>
            <w:tcW w:w="5340" w:type="dxa"/>
            <w:vAlign w:val="bottom"/>
            <w:gridSpan w:val="8"/>
          </w:tcPr>
          <w:p>
            <w:pPr>
              <w:spacing w:after="0"/>
              <w:rPr>
                <w:sz w:val="18"/>
                <w:szCs w:val="18"/>
                <w:color w:val="auto"/>
              </w:rPr>
            </w:pPr>
          </w:p>
        </w:tc>
        <w:tc>
          <w:tcPr>
            <w:tcW w:w="2140" w:type="dxa"/>
            <w:vAlign w:val="bottom"/>
            <w:gridSpan w:val="4"/>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23</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12"/>
          </w:tcPr>
          <w:p>
            <w:pPr>
              <w:spacing w:after="0"/>
              <w:rPr>
                <w:sz w:val="20"/>
                <w:szCs w:val="20"/>
                <w:color w:val="auto"/>
              </w:rPr>
            </w:pPr>
            <w:r>
              <w:rPr>
                <w:rFonts w:ascii="Arial" w:cs="Arial" w:eastAsia="Arial" w:hAnsi="Arial"/>
                <w:sz w:val="18"/>
                <w:szCs w:val="18"/>
                <w:color w:val="0000FF"/>
              </w:rPr>
              <w:t>DESCRIPTION OF WARRANTS</w:t>
            </w:r>
          </w:p>
        </w:tc>
        <w:tc>
          <w:tcPr>
            <w:tcW w:w="5660" w:type="dxa"/>
            <w:vAlign w:val="bottom"/>
            <w:gridSpan w:val="10"/>
          </w:tcPr>
          <w:p>
            <w:pPr>
              <w:spacing w:after="0"/>
              <w:rPr>
                <w:sz w:val="18"/>
                <w:szCs w:val="18"/>
                <w:color w:val="auto"/>
              </w:rPr>
            </w:pPr>
          </w:p>
        </w:tc>
        <w:tc>
          <w:tcPr>
            <w:tcW w:w="2140" w:type="dxa"/>
            <w:vAlign w:val="bottom"/>
            <w:gridSpan w:val="4"/>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30</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rPr>
              <w:t>DESCRIPTION OF RIGHTS</w:t>
            </w:r>
          </w:p>
        </w:tc>
        <w:tc>
          <w:tcPr>
            <w:tcW w:w="6260" w:type="dxa"/>
            <w:vAlign w:val="bottom"/>
            <w:gridSpan w:val="13"/>
          </w:tcPr>
          <w:p>
            <w:pPr>
              <w:spacing w:after="0"/>
              <w:rPr>
                <w:sz w:val="18"/>
                <w:szCs w:val="18"/>
                <w:color w:val="auto"/>
              </w:rPr>
            </w:pPr>
          </w:p>
        </w:tc>
        <w:tc>
          <w:tcPr>
            <w:tcW w:w="2140" w:type="dxa"/>
            <w:vAlign w:val="bottom"/>
            <w:gridSpan w:val="4"/>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34</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16"/>
          </w:tcPr>
          <w:p>
            <w:pPr>
              <w:spacing w:after="0"/>
              <w:rPr>
                <w:sz w:val="20"/>
                <w:szCs w:val="20"/>
                <w:color w:val="auto"/>
              </w:rPr>
            </w:pPr>
            <w:r>
              <w:rPr>
                <w:rFonts w:ascii="Arial" w:cs="Arial" w:eastAsia="Arial" w:hAnsi="Arial"/>
                <w:sz w:val="18"/>
                <w:szCs w:val="18"/>
                <w:color w:val="0000FF"/>
                <w:w w:val="99"/>
              </w:rPr>
              <w:t>DESCRIPTION OF PURCHASE CONTRACTS</w:t>
            </w:r>
          </w:p>
        </w:tc>
        <w:tc>
          <w:tcPr>
            <w:tcW w:w="5100" w:type="dxa"/>
            <w:vAlign w:val="bottom"/>
            <w:gridSpan w:val="6"/>
          </w:tcPr>
          <w:p>
            <w:pPr>
              <w:spacing w:after="0"/>
              <w:rPr>
                <w:sz w:val="18"/>
                <w:szCs w:val="18"/>
                <w:color w:val="auto"/>
              </w:rPr>
            </w:pPr>
          </w:p>
        </w:tc>
        <w:tc>
          <w:tcPr>
            <w:tcW w:w="2140" w:type="dxa"/>
            <w:vAlign w:val="bottom"/>
            <w:gridSpan w:val="4"/>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35</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9"/>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16"/>
          </w:tcPr>
          <w:p>
            <w:pPr>
              <w:spacing w:after="0"/>
              <w:rPr>
                <w:sz w:val="20"/>
                <w:szCs w:val="20"/>
                <w:color w:val="auto"/>
              </w:rPr>
            </w:pPr>
            <w:r>
              <w:rPr>
                <w:rFonts w:ascii="Arial" w:cs="Arial" w:eastAsia="Arial" w:hAnsi="Arial"/>
                <w:sz w:val="18"/>
                <w:szCs w:val="18"/>
                <w:color w:val="0000FF"/>
              </w:rPr>
              <w:t>DESCRIPTION OF UNITS</w:t>
            </w:r>
          </w:p>
        </w:tc>
        <w:tc>
          <w:tcPr>
            <w:tcW w:w="5100" w:type="dxa"/>
            <w:vAlign w:val="bottom"/>
            <w:gridSpan w:val="6"/>
          </w:tcPr>
          <w:p>
            <w:pPr>
              <w:spacing w:after="0"/>
              <w:rPr>
                <w:sz w:val="18"/>
                <w:szCs w:val="18"/>
                <w:color w:val="auto"/>
              </w:rPr>
            </w:pPr>
          </w:p>
        </w:tc>
        <w:tc>
          <w:tcPr>
            <w:tcW w:w="2140" w:type="dxa"/>
            <w:vAlign w:val="bottom"/>
            <w:gridSpan w:val="4"/>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36</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gridSpan w:val="15"/>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SELLING SHAREHOLDERS</w:t>
            </w:r>
          </w:p>
        </w:tc>
        <w:tc>
          <w:tcPr>
            <w:tcW w:w="2360" w:type="dxa"/>
            <w:vAlign w:val="bottom"/>
            <w:gridSpan w:val="7"/>
          </w:tcPr>
          <w:p>
            <w:pPr>
              <w:jc w:val="right"/>
              <w:ind w:right="20"/>
              <w:spacing w:after="0"/>
              <w:rPr>
                <w:sz w:val="20"/>
                <w:szCs w:val="20"/>
                <w:color w:val="auto"/>
              </w:rPr>
            </w:pPr>
            <w:r>
              <w:rPr>
                <w:rFonts w:ascii="Arial" w:cs="Arial" w:eastAsia="Arial" w:hAnsi="Arial"/>
                <w:sz w:val="18"/>
                <w:szCs w:val="18"/>
                <w:color w:val="0000FF"/>
              </w:rPr>
              <w:t>37</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560" w:type="dxa"/>
            <w:vAlign w:val="bottom"/>
            <w:gridSpan w:val="15"/>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8"/>
                <w:szCs w:val="18"/>
                <w:color w:val="0000FF"/>
                <w:w w:val="99"/>
              </w:rPr>
              <w:t>PLAN OF DISTRIBUTION</w:t>
            </w:r>
          </w:p>
        </w:tc>
        <w:tc>
          <w:tcPr>
            <w:tcW w:w="200" w:type="dxa"/>
            <w:vAlign w:val="bottom"/>
            <w:gridSpan w:val="3"/>
          </w:tcPr>
          <w:p>
            <w:pPr>
              <w:spacing w:after="0"/>
              <w:rPr>
                <w:sz w:val="18"/>
                <w:szCs w:val="18"/>
                <w:color w:val="auto"/>
              </w:rPr>
            </w:pPr>
          </w:p>
        </w:tc>
        <w:tc>
          <w:tcPr>
            <w:tcW w:w="6560" w:type="dxa"/>
            <w:vAlign w:val="bottom"/>
            <w:gridSpan w:val="15"/>
          </w:tcPr>
          <w:p>
            <w:pPr>
              <w:spacing w:after="0"/>
              <w:rPr>
                <w:sz w:val="18"/>
                <w:szCs w:val="18"/>
                <w:color w:val="auto"/>
              </w:rPr>
            </w:pPr>
          </w:p>
        </w:tc>
        <w:tc>
          <w:tcPr>
            <w:tcW w:w="2140" w:type="dxa"/>
            <w:vAlign w:val="bottom"/>
            <w:gridSpan w:val="4"/>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40" w:type="dxa"/>
            <w:vAlign w:val="bottom"/>
            <w:gridSpan w:val="1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VALIDITY OF SECURITIES</w:t>
            </w:r>
          </w:p>
        </w:tc>
        <w:tc>
          <w:tcPr>
            <w:tcW w:w="2360" w:type="dxa"/>
            <w:vAlign w:val="bottom"/>
            <w:gridSpan w:val="7"/>
          </w:tcPr>
          <w:p>
            <w:pPr>
              <w:jc w:val="right"/>
              <w:ind w:right="20"/>
              <w:spacing w:after="0"/>
              <w:rPr>
                <w:sz w:val="20"/>
                <w:szCs w:val="20"/>
                <w:color w:val="auto"/>
              </w:rPr>
            </w:pPr>
            <w:r>
              <w:rPr>
                <w:rFonts w:ascii="Arial" w:cs="Arial" w:eastAsia="Arial" w:hAnsi="Arial"/>
                <w:sz w:val="18"/>
                <w:szCs w:val="18"/>
                <w:color w:val="0000FF"/>
              </w:rPr>
              <w:t>40</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5"/>
            <w:shd w:val="clear" w:color="auto" w:fill="0000FF"/>
          </w:tcPr>
          <w:p>
            <w:pPr>
              <w:spacing w:after="0" w:line="20" w:lineRule="exact"/>
              <w:rPr>
                <w:sz w:val="1"/>
                <w:szCs w:val="1"/>
                <w:color w:val="auto"/>
              </w:rPr>
            </w:pPr>
          </w:p>
        </w:tc>
        <w:tc>
          <w:tcPr>
            <w:tcW w:w="6640" w:type="dxa"/>
            <w:vAlign w:val="bottom"/>
            <w:gridSpan w:val="1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6"/>
          </w:tcPr>
          <w:p>
            <w:pPr>
              <w:spacing w:after="0"/>
              <w:rPr>
                <w:sz w:val="20"/>
                <w:szCs w:val="20"/>
                <w:color w:val="auto"/>
              </w:rPr>
            </w:pPr>
            <w:r>
              <w:rPr>
                <w:rFonts w:ascii="Arial" w:cs="Arial" w:eastAsia="Arial" w:hAnsi="Arial"/>
                <w:sz w:val="18"/>
                <w:szCs w:val="18"/>
                <w:color w:val="0000FF"/>
              </w:rPr>
              <w:t>EXPERTS</w:t>
            </w:r>
          </w:p>
        </w:tc>
        <w:tc>
          <w:tcPr>
            <w:tcW w:w="6640" w:type="dxa"/>
            <w:vAlign w:val="bottom"/>
            <w:gridSpan w:val="16"/>
          </w:tcPr>
          <w:p>
            <w:pPr>
              <w:spacing w:after="0"/>
              <w:rPr>
                <w:sz w:val="18"/>
                <w:szCs w:val="18"/>
                <w:color w:val="auto"/>
              </w:rPr>
            </w:pPr>
          </w:p>
        </w:tc>
        <w:tc>
          <w:tcPr>
            <w:tcW w:w="2140" w:type="dxa"/>
            <w:vAlign w:val="bottom"/>
            <w:gridSpan w:val="4"/>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41</w:t>
            </w:r>
          </w:p>
        </w:tc>
      </w:tr>
      <w:tr>
        <w:trPr>
          <w:trHeight w:val="75"/>
        </w:trPr>
        <w:tc>
          <w:tcPr>
            <w:tcW w:w="20" w:type="dxa"/>
            <w:vAlign w:val="bottom"/>
            <w:tcBorders>
              <w:bottom w:val="single" w:sz="8" w:color="auto"/>
            </w:tcBorders>
          </w:tcPr>
          <w:p>
            <w:pPr>
              <w:spacing w:after="0"/>
              <w:rPr>
                <w:sz w:val="6"/>
                <w:szCs w:val="6"/>
                <w:color w:val="auto"/>
              </w:rPr>
            </w:pPr>
          </w:p>
        </w:tc>
        <w:tc>
          <w:tcPr>
            <w:tcW w:w="840" w:type="dxa"/>
            <w:vAlign w:val="bottom"/>
            <w:tcBorders>
              <w:top w:val="single" w:sz="8" w:color="0000FF"/>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and the sales agent has not, authorized anyone to provide you with different information than that contained in or incorporated by reference in this prospectus supplement, the accompanying prospectus, and in any free writing prospectus that we have authorized for use in connection with this offering. We are not, and the sales agent is not, making an offer to sell these securities in any jurisdiction where the offer or sale is not permitted. You should read this prospectus supplement, the accompanying prospectus, the documents incorporated by reference in this prospectus supplement and the accompanying prospectus, and any free writing prospectus that we have authorized for use in connection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Certain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1440" w:right="459" w:bottom="1440" w:gutter="0" w:footer="0" w:header="0"/>
        </w:sectPr>
      </w:pPr>
    </w:p>
    <w:bookmarkStart w:id="3" w:name="page4"/>
    <w:bookmarkEnd w:id="3"/>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ABOUT THIS PROSPECTUS SUPPLEMENT</w:t>
      </w:r>
    </w:p>
    <w:p>
      <w:pPr>
        <w:spacing w:after="0" w:line="3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document is in two parts. The first part is this prospectus supplement, which describes the terms of this offering of common shares and adds to and updates information contained in the accompanying prospectus and the documents incorporated by reference into this prospectus supplement and the accompanying prospectus. The second part, the accompanying prospectus dated October 2, 2023,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You should assume that the information contained in this prospectus supplement is accurate as of the date on the cover page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or the accompanying prospectus or any sale of our common shares. Our business, financial condition, results of operations, and prospects may have changed since that date.</w:t>
      </w:r>
    </w:p>
    <w:p>
      <w:pPr>
        <w:spacing w:after="0" w:line="116"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to “Biohaven,” the “Company,” “we,” “us,” “our,” or similar references mean Biohaven Ltd. and our subsidiaries, on a consolidated basis.</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prospectus supplement and the documents incorporated by reference herein contain references to our trademarks and to trademarks belonging to other entities. Solely for convenience, trademarks and trade names referred to in this prospectus supplement and the documents incorporated by reference,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industry and market data and other statistical information contained in this prospectus supplement, the accompanying prospectus and the documents we incorporate by reference are based on management’s own estimates, independent publications, government publications, reports by market research firms, or other published independent sources, and, in each case, are believed by management to be reasonable estimates. Although we believe these sources are reliable, we have not independently verified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320" w:top="1440"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136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PROSPECTUS SUPPLEMENT SUMMARY</w:t>
      </w:r>
    </w:p>
    <w:p>
      <w:pPr>
        <w:spacing w:after="0" w:line="3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following summary highlights and, in certain cases, updates some of the information contained elsewhere in or incorporated by reference into this prospectus supplement. Because this is only a summary, however, it does not contain all of the information that may be important to you. You should carefully read this entire prospectus supplement, including the information incorporated by reference herein, especially the matters discussed under “Risk Factors” in this prospectus supplement and the “Risk Factors” sections of our Annual Report on Form 10-K for the year ended December 31, 2022 and our Quarterly Report on Form 10-Q for the quarterly period ended June 30, 2023, along with our consolidated financial statements and notes thereto, before making an investment decision.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 global clinical-stage biopharmaceutical company focused on the discovery, development and commercialization of life-changing therapies to treat a broad range of rare and common diseases. Our experienced management team brings with it a proven track record of delivering new drug approvals for products for diseases such as migraine, depression, bipolar disorder and schizophrenia. We are advancing a pipeline of therapies for diseases, many of which have limited or no treatment options, leveraging our proven drug development capabilities and proprietary platforms including Kv7 ion channel modulation for epilepsy and neuronal hyperexcitability, glutamate modulation for Obsessive-Compulsive Disorder and Spinocerebellar Ataxia, myostatin inhibition for neuromuscular diseases and metabolic disorders, and brain-penetrant Tyrosine Kinase 2/Janus Kinase 1 inhibition for neuroinflammatory disorders. Our portfolio of early- and late-stage product candidates also includes discovery research programs focused on TRPM3 channel activation for neuropathic pain, CD-38 antibody recruiting, bispecific molecules for multiple myeloma, antibody drug conjugates, and targeted extracellular protein degradation platform technology with potential application in neurological disorders, cancer, and autoimmune diseases.</w:t>
      </w:r>
    </w:p>
    <w:p>
      <w:pPr>
        <w:spacing w:after="0" w:line="13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are advancing our broad and diverse pipeline across early and late stage development, including three Phase 3 clinical programs. We have built a highly experienced team of senior leaders and neuroscience drug developers who combine a nimble, results-driven biotech mindset with capabilities in drug discovery and development. In addition, we have several preclinical assets in our early discovery program, targeting indications in neuroscience and immunology.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 — Molecular Degrader of Extracellular Protein (“MoDE”) Platform</w:t>
      </w:r>
    </w:p>
    <w:p>
      <w:pPr>
        <w:spacing w:after="0" w:line="15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evaluated the effect of single and multiple doses of our immunoglobulin gamma ("IgG") bispecific degrader, BHV-1300, in cynomolgus monkeys. In September 2023, we reported data from confirmatory studies that showed a 75-80% reduction of IgG levels two days after a single dose and over 90% of IgG lowering after three doses.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Associated with Our Business</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business is subject to a number of risks, including those highlighted in the section titled “Risk Factors” immediately following this prospectus summary and those described under similar headings in the documents incorporated by reference into this prospectus. These risks include the following, among others: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Development of Our Product Candidates</w:t>
      </w:r>
    </w:p>
    <w:p>
      <w:pPr>
        <w:spacing w:after="0" w:line="154" w:lineRule="exact"/>
        <w:rPr>
          <w:sz w:val="20"/>
          <w:szCs w:val="20"/>
          <w:color w:val="auto"/>
        </w:rPr>
      </w:pPr>
    </w:p>
    <w:p>
      <w:pPr>
        <w:ind w:left="960" w:hanging="31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depend entirely on the success of a limited number of product candidates.</w:t>
      </w:r>
    </w:p>
    <w:p>
      <w:pPr>
        <w:spacing w:after="0" w:line="157" w:lineRule="exact"/>
        <w:rPr>
          <w:rFonts w:ascii="Arial" w:cs="Arial" w:eastAsia="Arial" w:hAnsi="Arial"/>
          <w:sz w:val="18"/>
          <w:szCs w:val="18"/>
          <w:color w:val="auto"/>
        </w:rPr>
      </w:pPr>
    </w:p>
    <w:p>
      <w:pPr>
        <w:ind w:left="960" w:right="540" w:hanging="318"/>
        <w:spacing w:after="0" w:line="275" w:lineRule="auto"/>
        <w:tabs>
          <w:tab w:leader="none" w:pos="9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Clinical trials are very expensive, time consuming and difficult to design and implement, involve uncertain outcomes and may not be predictive of results of future trials.</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S-2</w:t>
      </w:r>
    </w:p>
    <w:p>
      <w:pPr>
        <w:sectPr>
          <w:pgSz w:w="11900" w:h="16838" w:orient="portrait"/>
          <w:cols w:equalWidth="0" w:num="1">
            <w:col w:w="9840"/>
          </w:cols>
          <w:pgMar w:left="1000" w:top="1440" w:right="105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153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960" w:right="900" w:hanging="318"/>
        <w:spacing w:after="0" w:line="275"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approval processes in the U.S. and foreign jurisdictions are lengthy, time consuming and unpredictable.</w:t>
      </w:r>
    </w:p>
    <w:p>
      <w:pPr>
        <w:spacing w:after="0" w:line="106" w:lineRule="exact"/>
        <w:rPr>
          <w:rFonts w:ascii="Arial" w:cs="Arial" w:eastAsia="Arial" w:hAnsi="Arial"/>
          <w:sz w:val="18"/>
          <w:szCs w:val="18"/>
          <w:color w:val="auto"/>
        </w:rPr>
      </w:pPr>
    </w:p>
    <w:p>
      <w:pPr>
        <w:ind w:left="960" w:right="500" w:hanging="318"/>
        <w:spacing w:after="0" w:line="275" w:lineRule="auto"/>
        <w:tabs>
          <w:tab w:leader="none" w:pos="9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product candidates may fail to demonstrate safety and efficacy in clinical trials, or may cause serious adverse or unacceptable side effects.</w:t>
      </w:r>
    </w:p>
    <w:p>
      <w:pPr>
        <w:spacing w:after="0" w:line="92" w:lineRule="exact"/>
        <w:rPr>
          <w:rFonts w:ascii="Arial" w:cs="Arial" w:eastAsia="Arial" w:hAnsi="Arial"/>
          <w:sz w:val="18"/>
          <w:szCs w:val="18"/>
          <w:color w:val="auto"/>
        </w:rPr>
      </w:pPr>
    </w:p>
    <w:p>
      <w:pPr>
        <w:ind w:left="960" w:hanging="318"/>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become exposed to costly and damaging liability claims, which may not be covered by insurance.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Commercialization of Our Product Candidates</w:t>
      </w:r>
    </w:p>
    <w:p>
      <w:pPr>
        <w:spacing w:after="0" w:line="168" w:lineRule="exact"/>
        <w:rPr>
          <w:sz w:val="20"/>
          <w:szCs w:val="20"/>
          <w:color w:val="auto"/>
        </w:rPr>
      </w:pPr>
    </w:p>
    <w:p>
      <w:pPr>
        <w:ind w:left="960" w:right="400" w:hanging="318"/>
        <w:spacing w:after="0" w:line="275"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commercialized a product candidate and may lack the necessary expertise, personnel and resources to successfully commercialize any product candidate that may receive regulatory approval.</w:t>
      </w:r>
    </w:p>
    <w:p>
      <w:pPr>
        <w:spacing w:after="0" w:line="92"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highly competitive and rapidly changing industry.</w:t>
      </w:r>
    </w:p>
    <w:p>
      <w:pPr>
        <w:spacing w:after="0" w:line="157" w:lineRule="exact"/>
        <w:rPr>
          <w:rFonts w:ascii="Arial" w:cs="Arial" w:eastAsia="Arial" w:hAnsi="Arial"/>
          <w:sz w:val="18"/>
          <w:szCs w:val="18"/>
          <w:color w:val="auto"/>
        </w:rPr>
      </w:pPr>
    </w:p>
    <w:p>
      <w:pPr>
        <w:ind w:left="960" w:hanging="318"/>
        <w:spacing w:after="0" w:line="275"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or maintain adequate coverage and reimbursement for our approved product candidates could limit our ability to market those products and decrease our ability to generate revenue.</w:t>
      </w:r>
    </w:p>
    <w:p>
      <w:pPr>
        <w:spacing w:after="0" w:line="106" w:lineRule="exact"/>
        <w:rPr>
          <w:rFonts w:ascii="Arial" w:cs="Arial" w:eastAsia="Arial" w:hAnsi="Arial"/>
          <w:sz w:val="18"/>
          <w:szCs w:val="18"/>
          <w:color w:val="auto"/>
        </w:rPr>
      </w:pPr>
    </w:p>
    <w:p>
      <w:pPr>
        <w:ind w:left="960" w:hanging="31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will be subject to ongoing regulatory oversight.</w:t>
      </w:r>
    </w:p>
    <w:p>
      <w:pPr>
        <w:spacing w:after="0" w:line="144" w:lineRule="exact"/>
        <w:rPr>
          <w:rFonts w:ascii="Arial" w:cs="Arial" w:eastAsia="Arial" w:hAnsi="Arial"/>
          <w:sz w:val="18"/>
          <w:szCs w:val="18"/>
          <w:color w:val="auto"/>
        </w:rPr>
      </w:pPr>
    </w:p>
    <w:p>
      <w:pPr>
        <w:ind w:left="960" w:right="40" w:hanging="318"/>
        <w:spacing w:after="0" w:line="275"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approved product candidates may fail to achieve the degree of market acceptance by physicians, patients, third-party payors and others in the medical community necessary for commercial success.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Need for Additional Capital</w:t>
      </w:r>
    </w:p>
    <w:p>
      <w:pPr>
        <w:spacing w:after="0" w:line="168" w:lineRule="exact"/>
        <w:rPr>
          <w:sz w:val="20"/>
          <w:szCs w:val="20"/>
          <w:color w:val="auto"/>
        </w:rPr>
      </w:pPr>
    </w:p>
    <w:p>
      <w:pPr>
        <w:ind w:left="960" w:right="240" w:hanging="318"/>
        <w:spacing w:after="0" w:line="275"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operating losses since inception and anticipate that we will continue to incur substantial operating losses for the foreseeable future.</w:t>
      </w:r>
    </w:p>
    <w:p>
      <w:pPr>
        <w:spacing w:after="0" w:line="92" w:lineRule="exact"/>
        <w:rPr>
          <w:rFonts w:ascii="Arial" w:cs="Arial" w:eastAsia="Arial" w:hAnsi="Arial"/>
          <w:sz w:val="18"/>
          <w:szCs w:val="18"/>
          <w:color w:val="auto"/>
        </w:rPr>
      </w:pPr>
    </w:p>
    <w:p>
      <w:pPr>
        <w:ind w:left="960" w:right="540" w:hanging="318"/>
        <w:spacing w:after="0" w:line="275"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raise capital when needed or on terms favorable to us could force us to curtail our planned operations and growth strategy.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168" w:lineRule="exact"/>
        <w:rPr>
          <w:sz w:val="20"/>
          <w:szCs w:val="20"/>
          <w:color w:val="auto"/>
        </w:rPr>
      </w:pPr>
    </w:p>
    <w:p>
      <w:pPr>
        <w:ind w:left="960" w:right="400" w:hanging="318"/>
        <w:spacing w:after="0" w:line="275"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studies and clinical trials and to supply, manufacture and distribute clinical drug supplies for our product candidates, which may expose our business to risks.</w:t>
      </w:r>
    </w:p>
    <w:p>
      <w:pPr>
        <w:spacing w:after="0" w:line="92" w:lineRule="exact"/>
        <w:rPr>
          <w:rFonts w:ascii="Arial" w:cs="Arial" w:eastAsia="Arial" w:hAnsi="Arial"/>
          <w:sz w:val="18"/>
          <w:szCs w:val="18"/>
          <w:color w:val="auto"/>
        </w:rPr>
      </w:pPr>
    </w:p>
    <w:p>
      <w:pPr>
        <w:ind w:left="960" w:right="720" w:hanging="318"/>
        <w:spacing w:after="0" w:line="275"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establish or maintain collaborations with third parties to develop or commercialize product candidates.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Regulatory Compliance</w:t>
      </w:r>
    </w:p>
    <w:p>
      <w:pPr>
        <w:spacing w:after="0" w:line="154" w:lineRule="exact"/>
        <w:rPr>
          <w:sz w:val="20"/>
          <w:szCs w:val="20"/>
          <w:color w:val="auto"/>
        </w:rPr>
      </w:pPr>
    </w:p>
    <w:p>
      <w:pPr>
        <w:ind w:left="960" w:right="260" w:hanging="318"/>
        <w:spacing w:after="0" w:line="275"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Enacted and future legislation may increase the difficulty and cost for us to obtain marketing approval of and commercialize our product candidates and may affect the prices we may set.</w:t>
      </w:r>
    </w:p>
    <w:p>
      <w:pPr>
        <w:spacing w:after="0" w:line="106" w:lineRule="exact"/>
        <w:rPr>
          <w:rFonts w:ascii="Arial" w:cs="Arial" w:eastAsia="Arial" w:hAnsi="Arial"/>
          <w:sz w:val="18"/>
          <w:szCs w:val="18"/>
          <w:color w:val="auto"/>
        </w:rPr>
      </w:pPr>
    </w:p>
    <w:p>
      <w:pPr>
        <w:ind w:left="960" w:right="20" w:hanging="318"/>
        <w:spacing w:after="0" w:line="275"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operations and relationships with investigators, health care professionals, consultants, third-party payors and customers are subject to federal and state healthcare and other laws.</w:t>
      </w:r>
    </w:p>
    <w:p>
      <w:pPr>
        <w:spacing w:after="0" w:line="106"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obtain or maintain orphan drug designation or exclusivity for our product candidates.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168" w:lineRule="exact"/>
        <w:rPr>
          <w:sz w:val="20"/>
          <w:szCs w:val="20"/>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lose market exclusivity earlier than expected.</w:t>
      </w:r>
    </w:p>
    <w:p>
      <w:pPr>
        <w:sectPr>
          <w:pgSz w:w="11900" w:h="16838" w:orient="portrait"/>
          <w:cols w:equalWidth="0" w:num="1">
            <w:col w:w="9800"/>
          </w:cols>
          <w:pgMar w:left="100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S-3</w:t>
      </w:r>
    </w:p>
    <w:p>
      <w:pPr>
        <w:sectPr>
          <w:pgSz w:w="11900" w:h="16838" w:orient="portrait"/>
          <w:cols w:equalWidth="0" w:num="1">
            <w:col w:w="9800"/>
          </w:cols>
          <w:pgMar w:left="1000" w:top="1440" w:right="10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47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960" w:right="220" w:hanging="318"/>
        <w:spacing w:after="0" w:line="263"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were unable to obtain licenses from third parties on commercially reasonable terms or lose our rights to licensed intellectual property, we may not be able to continue developing or commercializing our product candidates.</w:t>
      </w:r>
    </w:p>
    <w:p>
      <w:pPr>
        <w:spacing w:after="0" w:line="116" w:lineRule="exact"/>
        <w:rPr>
          <w:rFonts w:ascii="Arial" w:cs="Arial" w:eastAsia="Arial" w:hAnsi="Arial"/>
          <w:sz w:val="18"/>
          <w:szCs w:val="18"/>
          <w:color w:val="auto"/>
        </w:rPr>
      </w:pPr>
    </w:p>
    <w:p>
      <w:pPr>
        <w:ind w:left="960" w:right="160" w:hanging="318"/>
        <w:spacing w:after="0" w:line="275"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terms may not provide exclusivity for our product candidates for an adequate amount of time to realize sufficient commercial benefits.</w:t>
      </w:r>
    </w:p>
    <w:p>
      <w:pPr>
        <w:spacing w:after="0" w:line="92" w:lineRule="exact"/>
        <w:rPr>
          <w:rFonts w:ascii="Arial" w:cs="Arial" w:eastAsia="Arial" w:hAnsi="Arial"/>
          <w:sz w:val="18"/>
          <w:szCs w:val="18"/>
          <w:color w:val="auto"/>
        </w:rPr>
      </w:pPr>
    </w:p>
    <w:p>
      <w:pPr>
        <w:ind w:left="960" w:hanging="31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parties may seek to invalidate our patents.</w:t>
      </w:r>
    </w:p>
    <w:p>
      <w:pPr>
        <w:spacing w:after="0" w:line="157" w:lineRule="exact"/>
        <w:rPr>
          <w:rFonts w:ascii="Arial" w:cs="Arial" w:eastAsia="Arial" w:hAnsi="Arial"/>
          <w:sz w:val="18"/>
          <w:szCs w:val="18"/>
          <w:color w:val="auto"/>
        </w:rPr>
      </w:pPr>
    </w:p>
    <w:p>
      <w:pPr>
        <w:ind w:left="960" w:right="200" w:hanging="318"/>
        <w:spacing w:after="0" w:line="275" w:lineRule="auto"/>
        <w:tabs>
          <w:tab w:leader="none" w:pos="9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and could have a negative impact on the success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Employee Matters and Managing Growth</w:t>
      </w:r>
    </w:p>
    <w:p>
      <w:pPr>
        <w:spacing w:after="0" w:line="154" w:lineRule="exact"/>
        <w:rPr>
          <w:sz w:val="20"/>
          <w:szCs w:val="20"/>
          <w:color w:val="auto"/>
        </w:rPr>
      </w:pPr>
    </w:p>
    <w:p>
      <w:pPr>
        <w:ind w:left="960" w:right="20" w:hanging="318"/>
        <w:spacing w:after="0" w:line="275"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growth and ability to compete depend on, among other things, retaining key personnel and recruiting additional qualified personnel and on our ability to penetrate foreign markets.</w:t>
      </w:r>
    </w:p>
    <w:p>
      <w:pPr>
        <w:spacing w:after="0" w:line="106" w:lineRule="exact"/>
        <w:rPr>
          <w:rFonts w:ascii="Arial" w:cs="Arial" w:eastAsia="Arial" w:hAnsi="Arial"/>
          <w:sz w:val="18"/>
          <w:szCs w:val="18"/>
          <w:color w:val="auto"/>
        </w:rPr>
      </w:pPr>
    </w:p>
    <w:p>
      <w:pPr>
        <w:ind w:left="960" w:right="60" w:hanging="318"/>
        <w:spacing w:after="0" w:line="263"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regulations governing our international operations may preclude us from developing, manufacturing and selling certain product candidates and products outside of the United States and require us to develop and implement costly compliance programs.</w:t>
      </w:r>
    </w:p>
    <w:p>
      <w:pPr>
        <w:spacing w:after="0" w:line="116"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44" w:lineRule="exact"/>
        <w:rPr>
          <w:rFonts w:ascii="Arial" w:cs="Arial" w:eastAsia="Arial" w:hAnsi="Arial"/>
          <w:sz w:val="18"/>
          <w:szCs w:val="18"/>
          <w:color w:val="auto"/>
        </w:rPr>
      </w:pPr>
    </w:p>
    <w:p>
      <w:pPr>
        <w:ind w:left="960" w:right="80" w:hanging="318"/>
        <w:spacing w:after="0" w:line="275"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collaborators, principal investigators, CROs and vendors may engage in improper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Shares</w:t>
      </w:r>
    </w:p>
    <w:p>
      <w:pPr>
        <w:spacing w:after="0" w:line="168" w:lineRule="exact"/>
        <w:rPr>
          <w:sz w:val="20"/>
          <w:szCs w:val="20"/>
          <w:color w:val="auto"/>
        </w:rPr>
      </w:pPr>
    </w:p>
    <w:p>
      <w:pPr>
        <w:ind w:left="960" w:right="40" w:hanging="318"/>
        <w:spacing w:after="0" w:line="275"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all of our total outstanding shares may be sold freely into the market. This could cause the market price of our common shares to drop significantly, even if our business is doing well.</w:t>
      </w:r>
    </w:p>
    <w:p>
      <w:pPr>
        <w:spacing w:after="0" w:line="92" w:lineRule="exact"/>
        <w:rPr>
          <w:rFonts w:ascii="Arial" w:cs="Arial" w:eastAsia="Arial" w:hAnsi="Arial"/>
          <w:sz w:val="18"/>
          <w:szCs w:val="18"/>
          <w:color w:val="auto"/>
        </w:rPr>
      </w:pPr>
    </w:p>
    <w:p>
      <w:pPr>
        <w:ind w:left="960" w:right="900" w:hanging="318"/>
        <w:spacing w:after="0" w:line="275"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we do not expect to pay dividends on our common shares in the foreseeable future, capital appreciation, if any, would be your sole source of gain.</w:t>
      </w:r>
    </w:p>
    <w:p>
      <w:pPr>
        <w:spacing w:after="0" w:line="106" w:lineRule="exact"/>
        <w:rPr>
          <w:rFonts w:ascii="Arial" w:cs="Arial" w:eastAsia="Arial" w:hAnsi="Arial"/>
          <w:sz w:val="18"/>
          <w:szCs w:val="18"/>
          <w:color w:val="auto"/>
        </w:rPr>
      </w:pPr>
    </w:p>
    <w:p>
      <w:pPr>
        <w:ind w:left="960" w:hanging="31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trading price of our common shares may be volatile and may fluctuate.</w:t>
      </w:r>
    </w:p>
    <w:p>
      <w:pPr>
        <w:spacing w:after="0" w:line="157" w:lineRule="exact"/>
        <w:rPr>
          <w:rFonts w:ascii="Arial" w:cs="Arial" w:eastAsia="Arial" w:hAnsi="Arial"/>
          <w:sz w:val="18"/>
          <w:szCs w:val="18"/>
          <w:color w:val="auto"/>
        </w:rPr>
      </w:pPr>
    </w:p>
    <w:p>
      <w:pPr>
        <w:ind w:left="960" w:right="320" w:hanging="318"/>
        <w:spacing w:after="0" w:line="275"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or become a passive foreign investment company, there could be adverse U.S. federal income tax consequences to U.S.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This Offering</w:t>
      </w:r>
    </w:p>
    <w:p>
      <w:pPr>
        <w:spacing w:after="0" w:line="168" w:lineRule="exact"/>
        <w:rPr>
          <w:sz w:val="20"/>
          <w:szCs w:val="20"/>
          <w:color w:val="auto"/>
        </w:rPr>
      </w:pPr>
    </w:p>
    <w:p>
      <w:pPr>
        <w:ind w:left="960" w:right="220" w:hanging="318"/>
        <w:spacing w:after="0" w:line="275"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purchase common shares in this offering, you may incur immediate and substantial dilution in the book value of your shares.</w:t>
      </w:r>
    </w:p>
    <w:p>
      <w:pPr>
        <w:spacing w:after="0" w:line="92" w:lineRule="exact"/>
        <w:rPr>
          <w:rFonts w:ascii="Arial" w:cs="Arial" w:eastAsia="Arial" w:hAnsi="Arial"/>
          <w:sz w:val="18"/>
          <w:szCs w:val="18"/>
          <w:color w:val="auto"/>
        </w:rPr>
      </w:pPr>
    </w:p>
    <w:p>
      <w:pPr>
        <w:ind w:left="960" w:right="60" w:hanging="318"/>
        <w:spacing w:after="0" w:line="275"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actual number of common shares we will issue under the equity distribution agreement, at any one time or in total, is uncertain.</w:t>
      </w:r>
    </w:p>
    <w:p>
      <w:pPr>
        <w:spacing w:after="0" w:line="106" w:lineRule="exact"/>
        <w:rPr>
          <w:rFonts w:ascii="Arial" w:cs="Arial" w:eastAsia="Arial" w:hAnsi="Arial"/>
          <w:sz w:val="18"/>
          <w:szCs w:val="18"/>
          <w:color w:val="auto"/>
        </w:rPr>
      </w:pPr>
    </w:p>
    <w:p>
      <w:pPr>
        <w:ind w:left="960" w:right="280" w:hanging="318"/>
        <w:spacing w:after="0" w:line="275"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common shares offered hereby will be sold in “at-the-market offerings,” and investors who buy common shares at different times will likely pay different prices.</w:t>
      </w:r>
    </w:p>
    <w:p>
      <w:pPr>
        <w:spacing w:after="0" w:line="106" w:lineRule="exact"/>
        <w:rPr>
          <w:rFonts w:ascii="Arial" w:cs="Arial" w:eastAsia="Arial" w:hAnsi="Arial"/>
          <w:sz w:val="18"/>
          <w:szCs w:val="18"/>
          <w:color w:val="auto"/>
        </w:rPr>
      </w:pPr>
    </w:p>
    <w:p>
      <w:pPr>
        <w:ind w:left="960" w:right="220" w:hanging="318"/>
        <w:spacing w:after="0" w:line="275"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a substantial number of our common shares in the public market could occur at any time. This could cause the market price of our common shares to drop significantly, even if our business is doing well.</w:t>
      </w:r>
    </w:p>
    <w:p>
      <w:pPr>
        <w:spacing w:after="0" w:line="92" w:lineRule="exact"/>
        <w:rPr>
          <w:rFonts w:ascii="Arial" w:cs="Arial" w:eastAsia="Arial" w:hAnsi="Arial"/>
          <w:sz w:val="18"/>
          <w:szCs w:val="18"/>
          <w:color w:val="auto"/>
        </w:rPr>
      </w:pPr>
    </w:p>
    <w:p>
      <w:pPr>
        <w:ind w:left="960" w:hanging="318"/>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have broad discretion in the use of the net proceeds from this offering and may not use them effectively.</w:t>
      </w:r>
    </w:p>
    <w:p>
      <w:pPr>
        <w:sectPr>
          <w:pgSz w:w="11900" w:h="16838" w:orient="portrait"/>
          <w:cols w:equalWidth="0" w:num="1">
            <w:col w:w="9820"/>
          </w:cols>
          <w:pgMar w:left="100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S-4</w:t>
      </w:r>
    </w:p>
    <w:p>
      <w:pPr>
        <w:sectPr>
          <w:pgSz w:w="11900" w:h="16838" w:orient="portrait"/>
          <w:cols w:equalWidth="0" w:num="1">
            <w:col w:w="9820"/>
          </w:cols>
          <w:pgMar w:left="1000" w:top="1440" w:right="107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288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8848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960" w:right="80" w:hanging="318"/>
        <w:spacing w:after="0" w:line="275"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law, determinations by tax authorities or changes in our effective tax rates may adversely affect our business and financial results.</w:t>
      </w:r>
    </w:p>
    <w:p>
      <w:pPr>
        <w:spacing w:after="0" w:line="106" w:lineRule="exact"/>
        <w:rPr>
          <w:rFonts w:ascii="Arial" w:cs="Arial" w:eastAsia="Arial" w:hAnsi="Arial"/>
          <w:sz w:val="18"/>
          <w:szCs w:val="18"/>
          <w:color w:val="auto"/>
        </w:rPr>
      </w:pPr>
    </w:p>
    <w:p>
      <w:pPr>
        <w:ind w:left="960" w:right="340" w:hanging="318"/>
        <w:spacing w:after="0" w:line="275"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or become a passive foreign investment company, there could be adverse U.S. federal income tax consequences to U.S. holders.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 business company limited by shares incorporated under the laws of the British Virgin Islands. Our registered office is located at Kingston Chambers, P.O. Box 173, Road Town, Tortola, British Virgin Islands. Our U.S. subsidiary’s office is located at 215 Church Street, New Haven, CT 06510, with additional facilities in Yardley, PA, Pittsburgh, PA, and New Haven, CT. Our telephone number is (203) 404-0410 and our website address is www.biohaven.com. The information contained on our website is not incorporated by reference into this prospectus supplement, and you should not consider any information contained on, or that can be accessed through, our website as part of this prospectus supplement or in making an investment decision regarding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9840"/>
          </w:cols>
          <w:pgMar w:left="1000" w:top="1440" w:right="10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477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7701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45"/>
        <w:spacing w:after="0"/>
        <w:rPr>
          <w:sz w:val="20"/>
          <w:szCs w:val="20"/>
          <w:color w:val="auto"/>
        </w:rPr>
      </w:pPr>
      <w:r>
        <w:rPr>
          <w:rFonts w:ascii="Arial" w:cs="Arial" w:eastAsia="Arial" w:hAnsi="Arial"/>
          <w:sz w:val="28"/>
          <w:szCs w:val="28"/>
          <w:b w:val="1"/>
          <w:bCs w:val="1"/>
          <w:color w:val="auto"/>
        </w:rPr>
        <w:t>THE OFFERING</w:t>
      </w:r>
    </w:p>
    <w:p>
      <w:pPr>
        <w:sectPr>
          <w:pgSz w:w="11900" w:h="16838" w:orient="portrait"/>
          <w:cols w:equalWidth="0" w:num="1">
            <w:col w:w="9866"/>
          </w:cols>
          <w:pgMar w:left="994" w:top="1440" w:right="1039" w:bottom="1440" w:gutter="0" w:footer="0" w:header="0"/>
        </w:sectPr>
      </w:pPr>
    </w:p>
    <w:p>
      <w:pPr>
        <w:spacing w:after="0" w:line="380" w:lineRule="exact"/>
        <w:rPr>
          <w:sz w:val="20"/>
          <w:szCs w:val="20"/>
          <w:color w:val="auto"/>
        </w:rPr>
      </w:pPr>
    </w:p>
    <w:p>
      <w:pPr>
        <w:ind w:left="26"/>
        <w:spacing w:after="0"/>
        <w:rPr>
          <w:sz w:val="20"/>
          <w:szCs w:val="20"/>
          <w:color w:val="auto"/>
        </w:rPr>
      </w:pPr>
      <w:r>
        <w:rPr>
          <w:rFonts w:ascii="Arial" w:cs="Arial" w:eastAsia="Arial" w:hAnsi="Arial"/>
          <w:sz w:val="18"/>
          <w:szCs w:val="18"/>
          <w:color w:val="auto"/>
        </w:rPr>
        <w:t>Common shares offered by us</w:t>
      </w:r>
    </w:p>
    <w:p>
      <w:pPr>
        <w:spacing w:after="0" w:line="266" w:lineRule="exact"/>
        <w:rPr>
          <w:sz w:val="20"/>
          <w:szCs w:val="20"/>
          <w:color w:val="auto"/>
        </w:rPr>
      </w:pPr>
    </w:p>
    <w:p>
      <w:pPr>
        <w:ind w:left="26"/>
        <w:spacing w:after="0" w:line="255" w:lineRule="auto"/>
        <w:rPr>
          <w:sz w:val="20"/>
          <w:szCs w:val="20"/>
          <w:color w:val="auto"/>
        </w:rPr>
      </w:pPr>
      <w:r>
        <w:rPr>
          <w:rFonts w:ascii="Arial" w:cs="Arial" w:eastAsia="Arial" w:hAnsi="Arial"/>
          <w:sz w:val="18"/>
          <w:szCs w:val="18"/>
          <w:color w:val="auto"/>
        </w:rPr>
        <w:t>Common shares to be outstanding immediately after this offering</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
        <w:spacing w:after="0"/>
        <w:rPr>
          <w:sz w:val="20"/>
          <w:szCs w:val="20"/>
          <w:color w:val="auto"/>
        </w:rPr>
      </w:pPr>
      <w:r>
        <w:rPr>
          <w:rFonts w:ascii="Arial" w:cs="Arial" w:eastAsia="Arial" w:hAnsi="Arial"/>
          <w:sz w:val="18"/>
          <w:szCs w:val="18"/>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26"/>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
        <w:spacing w:after="0"/>
        <w:rPr>
          <w:sz w:val="20"/>
          <w:szCs w:val="20"/>
          <w:color w:val="auto"/>
        </w:rPr>
      </w:pPr>
      <w:r>
        <w:rPr>
          <w:rFonts w:ascii="Arial" w:cs="Arial" w:eastAsia="Arial" w:hAnsi="Arial"/>
          <w:sz w:val="18"/>
          <w:szCs w:val="18"/>
          <w:color w:val="auto"/>
        </w:rPr>
        <w:t>Risk factors</w:t>
      </w:r>
    </w:p>
    <w:p>
      <w:pPr>
        <w:spacing w:after="0" w:line="266" w:lineRule="exact"/>
        <w:rPr>
          <w:sz w:val="20"/>
          <w:szCs w:val="20"/>
          <w:color w:val="auto"/>
        </w:rPr>
      </w:pPr>
    </w:p>
    <w:p>
      <w:pPr>
        <w:ind w:left="26"/>
        <w:spacing w:after="0"/>
        <w:rPr>
          <w:sz w:val="20"/>
          <w:szCs w:val="20"/>
          <w:color w:val="auto"/>
        </w:rPr>
      </w:pPr>
      <w:r>
        <w:rPr>
          <w:rFonts w:ascii="Arial" w:cs="Arial" w:eastAsia="Arial" w:hAnsi="Arial"/>
          <w:sz w:val="18"/>
          <w:szCs w:val="18"/>
          <w:color w:val="auto"/>
        </w:rPr>
        <w:t>NYSE symbol</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Common shares having an aggregate offering price of up to $</w:t>
      </w:r>
      <w:r>
        <w:rPr>
          <w:rFonts w:ascii="Arial" w:cs="Arial" w:eastAsia="Arial" w:hAnsi="Arial"/>
          <w:sz w:val="18"/>
          <w:szCs w:val="18"/>
          <w:color w:val="auto"/>
          <w:highlight w:val="white"/>
        </w:rPr>
        <w:t>150.0</w:t>
      </w:r>
      <w:r>
        <w:rPr>
          <w:rFonts w:ascii="Arial" w:cs="Arial" w:eastAsia="Arial" w:hAnsi="Arial"/>
          <w:sz w:val="18"/>
          <w:szCs w:val="18"/>
          <w:color w:val="auto"/>
        </w:rPr>
        <w:t xml:space="preserve"> million.</w:t>
      </w:r>
    </w:p>
    <w:p>
      <w:pPr>
        <w:spacing w:after="0" w:line="69"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highlight w:val="white"/>
        </w:rPr>
        <w:t>Up to 74,083,965 of our common shares, assuming sales of 5,767,012 common shares in this offering at an offering price</w:t>
      </w:r>
    </w:p>
    <w:p>
      <w:pPr>
        <w:jc w:val="both"/>
        <w:ind w:right="180"/>
        <w:spacing w:after="0" w:line="221" w:lineRule="auto"/>
        <w:rPr>
          <w:sz w:val="20"/>
          <w:szCs w:val="20"/>
          <w:color w:val="auto"/>
        </w:rPr>
      </w:pPr>
      <w:r>
        <w:rPr>
          <w:rFonts w:ascii="Arial" w:cs="Arial" w:eastAsia="Arial" w:hAnsi="Arial"/>
          <w:sz w:val="17"/>
          <w:szCs w:val="17"/>
          <w:color w:val="auto"/>
          <w:highlight w:val="white"/>
        </w:rPr>
        <w:t xml:space="preserve">of $ 26.01 per common share, the last reported sale price of our common shares on </w:t>
      </w:r>
      <w:r>
        <w:rPr>
          <w:rFonts w:ascii="Arial" w:cs="Arial" w:eastAsia="Arial" w:hAnsi="Arial"/>
          <w:sz w:val="17"/>
          <w:szCs w:val="17"/>
          <w:color w:val="auto"/>
        </w:rPr>
        <w:t>the New York Stock Exchange (the</w:t>
      </w:r>
      <w:r>
        <w:rPr>
          <w:rFonts w:ascii="Arial" w:cs="Arial" w:eastAsia="Arial" w:hAnsi="Arial"/>
          <w:sz w:val="17"/>
          <w:szCs w:val="17"/>
          <w:color w:val="auto"/>
          <w:highlight w:val="white"/>
        </w:rPr>
        <w:t xml:space="preserve"> “NYSE”) on September 29, 2023. The actual number of</w:t>
      </w:r>
    </w:p>
    <w:p>
      <w:pPr>
        <w:spacing w:after="0" w:line="227" w:lineRule="auto"/>
        <w:rPr>
          <w:sz w:val="20"/>
          <w:szCs w:val="20"/>
          <w:color w:val="auto"/>
        </w:rPr>
      </w:pPr>
      <w:r>
        <w:rPr>
          <w:rFonts w:ascii="Arial" w:cs="Arial" w:eastAsia="Arial" w:hAnsi="Arial"/>
          <w:sz w:val="18"/>
          <w:szCs w:val="18"/>
          <w:color w:val="auto"/>
          <w:highlight w:val="white"/>
        </w:rPr>
        <w:t>common shares issued will vary depending on the sales price under this offering.</w:t>
      </w:r>
    </w:p>
    <w:p>
      <w:pPr>
        <w:spacing w:after="0" w:line="55" w:lineRule="exact"/>
        <w:rPr>
          <w:sz w:val="20"/>
          <w:szCs w:val="20"/>
          <w:color w:val="auto"/>
        </w:rPr>
      </w:pPr>
    </w:p>
    <w:p>
      <w:pPr>
        <w:ind w:right="180"/>
        <w:spacing w:after="0" w:line="231" w:lineRule="auto"/>
        <w:rPr>
          <w:sz w:val="20"/>
          <w:szCs w:val="20"/>
          <w:color w:val="auto"/>
        </w:rPr>
      </w:pPr>
      <w:r>
        <w:rPr>
          <w:rFonts w:ascii="Arial" w:cs="Arial" w:eastAsia="Arial" w:hAnsi="Arial"/>
          <w:sz w:val="17"/>
          <w:szCs w:val="17"/>
          <w:color w:val="auto"/>
        </w:rPr>
        <w:t>“At the market offering” that may be made from time to time through our sales agent. See “Plan of Distribution” for more</w:t>
      </w:r>
    </w:p>
    <w:p>
      <w:pPr>
        <w:spacing w:after="0"/>
        <w:rPr>
          <w:sz w:val="20"/>
          <w:szCs w:val="20"/>
          <w:color w:val="auto"/>
        </w:rPr>
      </w:pPr>
      <w:r>
        <w:rPr>
          <w:rFonts w:ascii="Arial" w:cs="Arial" w:eastAsia="Arial" w:hAnsi="Arial"/>
          <w:sz w:val="18"/>
          <w:szCs w:val="18"/>
          <w:color w:val="auto"/>
        </w:rPr>
        <w:t>information.</w:t>
      </w:r>
    </w:p>
    <w:p>
      <w:pPr>
        <w:spacing w:after="0" w:line="65" w:lineRule="exact"/>
        <w:rPr>
          <w:sz w:val="20"/>
          <w:szCs w:val="20"/>
          <w:color w:val="auto"/>
        </w:rPr>
      </w:pPr>
    </w:p>
    <w:p>
      <w:pPr>
        <w:ind w:right="680"/>
        <w:spacing w:after="0" w:line="231" w:lineRule="auto"/>
        <w:rPr>
          <w:sz w:val="20"/>
          <w:szCs w:val="20"/>
          <w:color w:val="auto"/>
        </w:rPr>
      </w:pPr>
      <w:r>
        <w:rPr>
          <w:rFonts w:ascii="Arial" w:cs="Arial" w:eastAsia="Arial" w:hAnsi="Arial"/>
          <w:sz w:val="17"/>
          <w:szCs w:val="17"/>
          <w:color w:val="auto"/>
          <w:highlight w:val="white"/>
        </w:rPr>
        <w:t>We currently intend to use the net proceeds from this offering, together with our existing cash for business</w:t>
      </w:r>
    </w:p>
    <w:p>
      <w:pPr>
        <w:spacing w:after="0" w:line="203" w:lineRule="auto"/>
        <w:rPr>
          <w:sz w:val="20"/>
          <w:szCs w:val="20"/>
          <w:color w:val="auto"/>
        </w:rPr>
      </w:pPr>
      <w:r>
        <w:rPr>
          <w:rFonts w:ascii="Arial" w:cs="Arial" w:eastAsia="Arial" w:hAnsi="Arial"/>
          <w:sz w:val="18"/>
          <w:szCs w:val="18"/>
          <w:color w:val="auto"/>
          <w:highlight w:val="white"/>
        </w:rPr>
        <w:t>development opportunities and other corporate purposes.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See “Use of Proceeds” for more information.</w:t>
      </w:r>
    </w:p>
    <w:p>
      <w:pPr>
        <w:spacing w:after="0" w:line="65"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Investing in our common shares involves a high degree of risk. See “Risk Factors” for more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“BHVN”</w:t>
      </w:r>
    </w:p>
    <w:p>
      <w:pPr>
        <w:spacing w:after="0" w:line="106" w:lineRule="exact"/>
        <w:rPr>
          <w:sz w:val="20"/>
          <w:szCs w:val="20"/>
          <w:color w:val="auto"/>
        </w:rPr>
      </w:pPr>
    </w:p>
    <w:p>
      <w:pPr>
        <w:sectPr>
          <w:pgSz w:w="11900" w:h="16838" w:orient="portrait"/>
          <w:cols w:equalWidth="0" w:num="2">
            <w:col w:w="4526" w:space="440"/>
            <w:col w:w="4900"/>
          </w:cols>
          <w:pgMar w:left="994" w:top="1440" w:right="1039" w:bottom="1440" w:gutter="0" w:footer="0" w:header="0"/>
          <w:type w:val="continuous"/>
        </w:sectPr>
      </w:pPr>
    </w:p>
    <w:p>
      <w:pPr>
        <w:ind w:left="6"/>
        <w:spacing w:after="0"/>
        <w:rPr>
          <w:sz w:val="20"/>
          <w:szCs w:val="20"/>
          <w:color w:val="auto"/>
        </w:rPr>
      </w:pPr>
      <w:r>
        <w:rPr>
          <w:rFonts w:ascii="Arial" w:cs="Arial" w:eastAsia="Arial" w:hAnsi="Arial"/>
          <w:sz w:val="13"/>
          <w:szCs w:val="13"/>
          <w:color w:val="auto"/>
        </w:rPr>
        <w:t>_________________</w:t>
      </w:r>
    </w:p>
    <w:p>
      <w:pPr>
        <w:spacing w:after="0" w:line="23" w:lineRule="exact"/>
        <w:rPr>
          <w:sz w:val="20"/>
          <w:szCs w:val="20"/>
          <w:color w:val="auto"/>
        </w:rPr>
      </w:pPr>
    </w:p>
    <w:p>
      <w:pPr>
        <w:ind w:left="6" w:right="80" w:hanging="6"/>
        <w:spacing w:after="0" w:line="280" w:lineRule="auto"/>
        <w:tabs>
          <w:tab w:leader="none" w:pos="643"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number of common shares to be outstanding immediately after this offering is based on 68,316,953 common shares outstanding as of June 30, 2023 and does not include:</w:t>
      </w:r>
    </w:p>
    <w:p>
      <w:pPr>
        <w:spacing w:after="0" w:line="100" w:lineRule="exact"/>
        <w:rPr>
          <w:rFonts w:ascii="Arial" w:cs="Arial" w:eastAsia="Arial" w:hAnsi="Arial"/>
          <w:sz w:val="13"/>
          <w:szCs w:val="13"/>
          <w:color w:val="auto"/>
        </w:rPr>
      </w:pPr>
    </w:p>
    <w:p>
      <w:pPr>
        <w:ind w:left="646" w:right="20" w:hanging="322"/>
        <w:spacing w:after="0" w:line="268" w:lineRule="auto"/>
        <w:tabs>
          <w:tab w:leader="none" w:pos="639" w:val="left"/>
        </w:tabs>
        <w:numPr>
          <w:ilvl w:val="1"/>
          <w:numId w:val="13"/>
        </w:numPr>
        <w:rPr>
          <w:rFonts w:ascii="Arial" w:cs="Arial" w:eastAsia="Arial" w:hAnsi="Arial"/>
          <w:sz w:val="13"/>
          <w:szCs w:val="13"/>
          <w:color w:val="auto"/>
        </w:rPr>
      </w:pPr>
      <w:r>
        <w:rPr>
          <w:rFonts w:ascii="Arial" w:cs="Arial" w:eastAsia="Arial" w:hAnsi="Arial"/>
          <w:sz w:val="13"/>
          <w:szCs w:val="13"/>
          <w:color w:val="auto"/>
        </w:rPr>
        <w:t>9,639,557 common shares issuable upon the exercise of stock options outstanding as of June 30, 2023, at a weighted average exercise price of $7.64 per share;</w:t>
      </w:r>
    </w:p>
    <w:p>
      <w:pPr>
        <w:ind w:left="646" w:hanging="322"/>
        <w:spacing w:after="0"/>
        <w:tabs>
          <w:tab w:leader="none" w:pos="646" w:val="left"/>
        </w:tabs>
        <w:numPr>
          <w:ilvl w:val="1"/>
          <w:numId w:val="13"/>
        </w:numPr>
        <w:rPr>
          <w:rFonts w:ascii="Arial" w:cs="Arial" w:eastAsia="Arial" w:hAnsi="Arial"/>
          <w:sz w:val="13"/>
          <w:szCs w:val="13"/>
          <w:color w:val="auto"/>
        </w:rPr>
      </w:pPr>
      <w:r>
        <w:rPr>
          <w:rFonts w:ascii="Arial" w:cs="Arial" w:eastAsia="Arial" w:hAnsi="Arial"/>
          <w:sz w:val="13"/>
          <w:szCs w:val="13"/>
          <w:color w:val="auto"/>
        </w:rPr>
        <w:t>2,129,777 common shares reserved for future issuance of awards under our 2022 Equity Incentive Plan (the “2022 Plan”); and</w:t>
      </w:r>
    </w:p>
    <w:p>
      <w:pPr>
        <w:spacing w:after="0" w:line="12" w:lineRule="exact"/>
        <w:rPr>
          <w:rFonts w:ascii="Arial" w:cs="Arial" w:eastAsia="Arial" w:hAnsi="Arial"/>
          <w:sz w:val="13"/>
          <w:szCs w:val="13"/>
          <w:color w:val="auto"/>
        </w:rPr>
      </w:pPr>
    </w:p>
    <w:p>
      <w:pPr>
        <w:ind w:left="646" w:hanging="322"/>
        <w:spacing w:after="0"/>
        <w:tabs>
          <w:tab w:leader="none" w:pos="646" w:val="left"/>
        </w:tabs>
        <w:numPr>
          <w:ilvl w:val="1"/>
          <w:numId w:val="13"/>
        </w:numPr>
        <w:rPr>
          <w:rFonts w:ascii="Arial" w:cs="Arial" w:eastAsia="Arial" w:hAnsi="Arial"/>
          <w:sz w:val="13"/>
          <w:szCs w:val="13"/>
          <w:color w:val="auto"/>
        </w:rPr>
      </w:pPr>
      <w:r>
        <w:rPr>
          <w:rFonts w:ascii="Arial" w:cs="Arial" w:eastAsia="Arial" w:hAnsi="Arial"/>
          <w:sz w:val="13"/>
          <w:szCs w:val="13"/>
          <w:color w:val="auto"/>
        </w:rPr>
        <w:t>1,032,949 common shares reserved for future issuance under our 2022 Employee Share Purchase Plan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9866"/>
          </w:cols>
          <w:pgMar w:left="994" w:top="1440" w:right="1039" w:bottom="1440" w:gutter="0" w:footer="0" w:header="0"/>
          <w:type w:val="continuous"/>
        </w:sectPr>
      </w:pPr>
    </w:p>
    <w:bookmarkStart w:id="9" w:name="page10"/>
    <w:bookmarkEnd w:id="9"/>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RISK FACTORS</w:t>
      </w:r>
    </w:p>
    <w:p>
      <w:pPr>
        <w:spacing w:after="0" w:line="3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Investing in our common shares involves a high degree of risk. Before you invest in our common shares, you should carefully consider the risks described below, as well as general economic and business risks and the other information in this prospectus supplement and in the documents incorporated by reference herein, including those set forth under the heading “Risk Factors” in our Annual Report on Form 10-K for the year ended December 31, 2022 and under the heading “Risk Factors” in our Quarterly Report on Form 10-Q for the quarterly period ended June 30, 2023. The occurrence of any of the events or circumstances described below or other adverse events could have a material adverse effect on our business, results of operations and financial condition and could cause the trading price of our common shares to decline. Additional risks or uncertainties not presently known to us or that we currently deem immaterial may also harm our business. Any of the following risks as well as the risks discussed in the documents incorporated by reference herein, could have a material adverse effect on our business, operating results and financial condition and cause the trading price of our common shares to decline, which would cause you to lose all or part of your investment. When determining whether to invest, you should also refer to the other information contained or incorporated by reference in this prospectus supplement, including our financial statements and the related notes thereto. The risks and uncertainties described below are not the only ones we face. Additional risks and uncertainties not presently known to us may also adversely affect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This Offering</w:t>
      </w:r>
    </w:p>
    <w:p>
      <w:pPr>
        <w:spacing w:after="0" w:line="148"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b w:val="1"/>
          <w:bCs w:val="1"/>
          <w:i w:val="1"/>
          <w:iCs w:val="1"/>
          <w:color w:val="auto"/>
        </w:rPr>
        <w:t>If you purchase common shares in this offering, you may incur immediate and substantial dilution in the book value of your shares.</w:t>
      </w:r>
    </w:p>
    <w:p>
      <w:pPr>
        <w:spacing w:after="0" w:line="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offering prices per common share in this offering may exceed the net tangible book value per share of our common shares. Assuming that an aggregate of 5,767,012 common shares are sold at a price of $26.01 per share pursuant to this prospectus supplement, which was the last reported sale price of our common shares on the NYSE on September 29, 2023, for aggregate gross proceeds of approximately $150.0 million, then, after deducting estimated commissions and estimated aggregate offering expenses payable by us, you would experience immediate dilution of $19.10 per share, representing the difference between our as-adjusted net tangible book value per common share as of June 30, 2023, after giving effect to this offering and the assumed offering price. See the section titled “Dilution” below for a more detailed illustration of the dilution you would incur if you participate in this offering. Because the sales of the common shares offered hereby will be made directly into the market or in negotiated transactions, the prices at which we sell these shares will vary, and these variations may be significant. Purchasers of the common shares we sell, as well as our existing shareholders, will experience significant dilution if we sell common shares at prices significantly below the price at which they invested.</w:t>
      </w:r>
    </w:p>
    <w:p>
      <w:pPr>
        <w:spacing w:after="0" w:line="11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addition, the exercise of any of our outstanding options or warrants or settlement of our outstanding restricted share units could result in additional dilution. As a result of the dilution to investors purchasing common shares in this offering, investors may receive significantly less than the purchase price paid in this offering, if anything, in the event of our liquidation.</w:t>
      </w:r>
    </w:p>
    <w:p>
      <w:pPr>
        <w:spacing w:after="0" w:line="106" w:lineRule="exact"/>
        <w:rPr>
          <w:sz w:val="20"/>
          <w:szCs w:val="20"/>
          <w:color w:val="auto"/>
        </w:rPr>
      </w:pPr>
    </w:p>
    <w:p>
      <w:pPr>
        <w:ind w:right="840"/>
        <w:spacing w:after="0" w:line="301" w:lineRule="auto"/>
        <w:rPr>
          <w:sz w:val="20"/>
          <w:szCs w:val="20"/>
          <w:color w:val="auto"/>
        </w:rPr>
      </w:pPr>
      <w:r>
        <w:rPr>
          <w:rFonts w:ascii="Arial" w:cs="Arial" w:eastAsia="Arial" w:hAnsi="Arial"/>
          <w:sz w:val="18"/>
          <w:szCs w:val="18"/>
          <w:b w:val="1"/>
          <w:bCs w:val="1"/>
          <w:i w:val="1"/>
          <w:iCs w:val="1"/>
          <w:color w:val="auto"/>
        </w:rPr>
        <w:t>The actual number of common shares we will issue under the equity distribution agreement, at any one time or in total, is uncertain.</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certain limitations in the equity distribution agreement and compliance with applicable law, we have the discretion to request the sales agent to sell on our behalf common shares at any time throughout the term of the equity distribution agreement, and the sales agent will be obligated to use commercially reasonable efforts to sell the common shares. The number of common shares that are sold by the sales agent after we request that sales be made will fluctuate based on the market price of the common shares during the sales period and limits we set with the sales agent. Because the price per share of the common shares sold will fluctuate based on the market price of our common shares during the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3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period, it is not possible at this stage to predict the number of common shares that will ultimately be issued by us under the equity distribution agreement.</w:t>
      </w:r>
    </w:p>
    <w:p>
      <w:pPr>
        <w:spacing w:after="0" w:line="83"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auto"/>
        </w:rPr>
        <w:t>The common shares offered hereby will be sold in “at-the-market offerings,” and investors who buy common shares at different times will likely pay different prices.</w:t>
      </w:r>
    </w:p>
    <w:p>
      <w:pPr>
        <w:spacing w:after="0" w:line="7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Investors who purchase common shares in this offering at different times will likely pay different prices, and therefore may experience different outcomes in their investment results. We will have discretion, subject to market demand, to vary the timing, prices, and number of common shares sold. Investors may experience a decline in the value of their common shares as a result of sales of common shares made at prices lower than the prices they paid.</w:t>
      </w:r>
    </w:p>
    <w:p>
      <w:pPr>
        <w:spacing w:after="0" w:line="112"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auto"/>
        </w:rPr>
        <w:t>Sales of a substantial number of our common shares in the public market could occur at any time. This could cause the market price of our common shares to drop significantly, even if our business is doing well.</w:t>
      </w:r>
    </w:p>
    <w:p>
      <w:pPr>
        <w:spacing w:after="0" w:line="58" w:lineRule="exact"/>
        <w:rPr>
          <w:sz w:val="20"/>
          <w:szCs w:val="20"/>
          <w:color w:val="auto"/>
        </w:rPr>
      </w:pPr>
    </w:p>
    <w:p>
      <w:pPr>
        <w:ind w:right="520"/>
        <w:spacing w:after="0" w:line="285" w:lineRule="auto"/>
        <w:rPr>
          <w:sz w:val="20"/>
          <w:szCs w:val="20"/>
          <w:color w:val="auto"/>
        </w:rPr>
      </w:pPr>
      <w:r>
        <w:rPr>
          <w:rFonts w:ascii="Arial" w:cs="Arial" w:eastAsia="Arial" w:hAnsi="Arial"/>
          <w:sz w:val="17"/>
          <w:szCs w:val="17"/>
          <w:color w:val="auto"/>
        </w:rPr>
        <w:t>Sales of a substantial number of our common shares in the public market could occur at any time, subject to certain restrictions and limitations. If we issue additional common shares, or our shareholders sell, or the market perceives that our shareholders intend to sell, substantial amounts of our common shares in the public market, the market price of our common shares could decline significantly.</w:t>
      </w:r>
    </w:p>
    <w:p>
      <w:pPr>
        <w:spacing w:after="0" w:line="10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addition, we have filed registration statements on Form S-8 registering the issuance of common shares subject to options or other equity awards issued or reserved for future issuance under our equity incentive plans. Shares registered under the registration statements on Form S-8 are available for sale in the public market subject to vesting arrangements and exercise of options, the lock-up agreements described above and, in the case of our affiliates, the restrictions of Rule 144.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in any certain manner.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shareholders. Further, our management might not apply the net proceeds or our existing cash in ways that ultimately increase the value of your investment. Accordingly, investors in this offering have only limited information concerning management’s specific intentions and will need to rely upon the judgment of our management with respect to the use of proceeds.</w:t>
      </w:r>
    </w:p>
    <w:p>
      <w:pPr>
        <w:spacing w:after="0" w:line="119"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Changes in tax law, determinations by tax authorities or changes in our effective tax rates may adversely affect our business and financial results.</w:t>
      </w:r>
    </w:p>
    <w:p>
      <w:pPr>
        <w:spacing w:after="0" w:line="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current law, we expect to be treated as a non-U.S. corporation for U.S. federal income tax purposes. The tax laws applicable to our business activities, however, are subject to change and uncertain interpretation. Our tax position could be adversely impacted by changes in tax rates, tax laws, tax practice, tax treaties or tax regulations or changes in the interpretation thereof by the tax authorities in jurisdictions in which we do business. Our actual tax rate may vary from our expectation and that variance may be material. A number of factors may increase our future effective tax rates, including: (1) the jurisdictions in which profits are determined to be earned and taxed; (2) the resolution of issues arising from any future tax audits with various tax authorities; (3) changes in the valuation of our deferred tax assets and liabilities;</w:t>
      </w:r>
    </w:p>
    <w:p>
      <w:pPr>
        <w:spacing w:after="0" w:line="4" w:lineRule="exact"/>
        <w:rPr>
          <w:sz w:val="20"/>
          <w:szCs w:val="20"/>
          <w:color w:val="auto"/>
        </w:rPr>
      </w:pPr>
    </w:p>
    <w:p>
      <w:pPr>
        <w:ind w:right="120" w:firstLine="8"/>
        <w:spacing w:after="0" w:line="256"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use net operating loss carryforwards to offset future taxable income and any adjustments to the amount of the net operating loss carryforwards we can utilize; and (5) changes in tax laws or the interpretation of such tax laws, and changes in generally accepted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principles. We may also become subject to income, withholding or other taxes in jurisdictions by reason of our activities and operations, and it is possible that taxing authorities in such jurisdictions could assert that we are subject to greater taxation than we currently anticipate. In particular, the Organization for Economic Co-operation and Development and the G20 Inclusive Framework on Base Erosion and Profit Shifting (the “Inclusive Framework”) has put forth two proposals—Pillar One and Pillar Two—that revise the existing profit allocation and nexus rules and ensure a minimal level of taxation, respectively. On December 12, 2022, the European Union member states agreed to implement the Inclusive Framework’s global corporate minimum tax rate of 15%, and various countries (both within and outside the European Union) have enacted new law implementing Pillar Two or have draft legislation proposed for adoption. The OECD continues to release additional guidance on the two-pillar framework, with widespread implementation anticipated by 2024. We are continuing to evaluate the potential impact on future periods of the Inclusive Framework, pending legislative adoption by individual countries, which could have an adverse impact on our effective tax rate, income tax expense and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or become a passive foreign investment company, there could be adverse U.S. federal income tax consequences to 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4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If we are or become a passive foreign investment company (“PFIC”) for any taxable year during which a U.S. holder holds our shares, the U.S. holder would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Code, we would be a PFIC for any taxable year in which (1) 75% or more of our gross income consisted of passive income or (2) 50% or more of the average quarterly value of our assets consisted of assets that produce, or are held for the production of, passive income. For purposes of these tests, passive income includes, but is not limited to, dividends, interest, gains from the sale or exchange of investment property and certain rents and royalties. In addition, for purposes of the above calculations and subject to certain exceptions,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1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Although we believe our common shares should not currently be stock of a PFIC for U.S. federal income tax purposes and do not expect to become a PFIC in the foreseeable future, we cannot provide any assurances regarding our PFIC status for any current or future taxable years. The determination of whether we are a PFIC is a fact-intensive determination made on an annual basis applying principles and methodologies which in some circumstances are unclear and subject to varying interpretation. In particular, the determination of whether we are a PFIC and the characterization of our assets as active or passive may depend in part on (i) our current and intended future business plans which are subject to change and (ii) the application of certain “look-through” rules. For our current and future taxable years, the total value of our assets for PFIC testing purposes may fluctuate considerably from time to time, and is dependent on our application (which inherently involves an element of judgment) of the relevant valuation assumptions and methodologies. Under the income test, our status as a PFIC depends on the composition of our income which, in our current and future taxable years, we may not be able to fully control, for example, with respect to income attributed to us from entities owned 25% or more by us. The composition of our income and assets is also affected by how, and how quickly, we spend the cash we raise in any offering. Therefore, we cannot provide any assurance regarding our PFIC status for any past, current or future taxable years.</w:t>
      </w:r>
    </w:p>
    <w:p>
      <w:pPr>
        <w:spacing w:after="0" w:line="13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certain circumstances, a U.S. holder of shares in a PFIC may alleviate some of the adverse tax consequences described above by making a “qualified electing fund” (“QEF”) election to include in income its pro rata share of the corporation’s income on a current basis. However, a U.S. holder may make a QEF election with respect to our common shares only if we agree to furnish such U.S. holder annually with a PFIC annual information statement as specified in the applicable U.S. Treasury Regulations. We currently do not intend to prepare or provide the information that would enable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holders to make a QEF election if we are treated as a PFIC for any taxable year, and U.S. holders of our common shares should assume that a QEF election will not be available.</w:t>
      </w:r>
    </w:p>
    <w:p>
      <w:pPr>
        <w:spacing w:after="0" w:line="9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Please see “Material United States Federal Income Tax Considerations” for further information. U.S. holders should consult their own tax advisors with respect to the operation of the PFIC rules and related reporting requirements in light of their particular circumstances, including the advisability of making any election that may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320" w:top="1440" w:right="359" w:bottom="1440" w:gutter="0" w:footer="0" w:header="0"/>
        </w:sectPr>
      </w:pPr>
    </w:p>
    <w:bookmarkStart w:id="13" w:name="page14"/>
    <w:bookmarkEnd w:id="13"/>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3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risks and uncertainties. We make such forward-looking statements pursuant to the safe harbor provisions of the U.S. Private Securities Litigation Reform Act of 1995 and other securities laws. All statements other than statements of historical facts contained in this prospectus supplement, including statements regarding our future results of operations and financial position, strategy and plans, and our expectations for future operations, are forward-looking statements. In some cases, you can identify forward-looking statements by terminology such as “believe,” “may,” “will,” “estimate,” “continue,” “anticipate,” “design,” “intend,” “expect,” “could,” “plan,” “potential,” “predict,” “seek,” “should,” “would” or the negative of these terms or other comparable terminology. Forward-looking statements are not guarantees of performance, are based on certain assumptions, discuss future expectations, describe plans and strategies or state other forward-looking information. These forward-looking statements include, but are not limited to, statements about:</w:t>
      </w:r>
    </w:p>
    <w:p>
      <w:pPr>
        <w:spacing w:after="0" w:line="115" w:lineRule="exact"/>
        <w:rPr>
          <w:sz w:val="20"/>
          <w:szCs w:val="20"/>
          <w:color w:val="auto"/>
        </w:rPr>
      </w:pPr>
    </w:p>
    <w:p>
      <w:pPr>
        <w:ind w:left="980" w:right="340" w:hanging="324"/>
        <w:spacing w:after="0" w:line="275"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ongoing and planned clinical trials, including discovery and proof of concept trials, the status of our ongoing clinical trials, commencement dates for new clinical trials, and the timing of clinical trial results;</w:t>
      </w:r>
    </w:p>
    <w:p>
      <w:pPr>
        <w:spacing w:after="0" w:line="10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products;</w:t>
      </w:r>
    </w:p>
    <w:p>
      <w:pPr>
        <w:spacing w:after="0" w:line="157" w:lineRule="exact"/>
        <w:rPr>
          <w:rFonts w:ascii="Arial" w:cs="Arial" w:eastAsia="Arial" w:hAnsi="Arial"/>
          <w:sz w:val="18"/>
          <w:szCs w:val="18"/>
          <w:color w:val="auto"/>
        </w:rPr>
      </w:pPr>
    </w:p>
    <w:p>
      <w:pPr>
        <w:ind w:left="980" w:right="20" w:hanging="324"/>
        <w:spacing w:after="0" w:line="275"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anticipated future milestones, contingent and royalty payments and lease payments (and, in each case, their expected impact on liquidity);</w:t>
      </w:r>
    </w:p>
    <w:p>
      <w:pPr>
        <w:spacing w:after="0" w:line="9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estimates regarding future revenues, expenses and needs for additional financing.</w:t>
      </w:r>
    </w:p>
    <w:p>
      <w:pPr>
        <w:spacing w:after="0" w:line="15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Important factors that could cause actual results to differ materially from those reflected in such forward-looking statements and that should be considered in evaluating our outlook include, but are not limited to, the following:</w:t>
      </w:r>
    </w:p>
    <w:p>
      <w:pPr>
        <w:spacing w:after="0" w:line="93" w:lineRule="exact"/>
        <w:rPr>
          <w:sz w:val="20"/>
          <w:szCs w:val="20"/>
          <w:color w:val="auto"/>
        </w:rPr>
      </w:pPr>
    </w:p>
    <w:p>
      <w:pPr>
        <w:ind w:left="980" w:right="20" w:hanging="324"/>
        <w:spacing w:after="0" w:line="275"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from our separation (the “Separation”) from Biohaven Pharmaceutical Holding Company Ltd. making it more difficult to maintain business and operational relationships;</w:t>
      </w:r>
    </w:p>
    <w:p>
      <w:pPr>
        <w:spacing w:after="0" w:line="10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unknown liabilities;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of litigation and/or regulatory actions related to the Separation or our business;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business combinations or disposals;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diverting management’s attention from the Company’s ongoing business operation;</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44" w:lineRule="exact"/>
        <w:rPr>
          <w:rFonts w:ascii="Arial" w:cs="Arial" w:eastAsia="Arial" w:hAnsi="Arial"/>
          <w:sz w:val="18"/>
          <w:szCs w:val="18"/>
          <w:color w:val="auto"/>
        </w:rPr>
      </w:pPr>
    </w:p>
    <w:p>
      <w:pPr>
        <w:ind w:left="980" w:right="500" w:hanging="324"/>
        <w:spacing w:after="0" w:line="275"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 or product candidates, and our estimates regarding the potential market opportunity for our product candidates;</w:t>
      </w:r>
    </w:p>
    <w:p>
      <w:pPr>
        <w:spacing w:after="0" w:line="10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competitive position, including our competitors and competing products (including biosimilars);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32" w:lineRule="exact"/>
        <w:rPr>
          <w:sz w:val="20"/>
          <w:szCs w:val="20"/>
          <w:color w:val="auto"/>
        </w:rPr>
      </w:pPr>
    </w:p>
    <w:p>
      <w:pPr>
        <w:ind w:left="980" w:right="560" w:hanging="324"/>
        <w:spacing w:after="0" w:line="275"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economic conditions, including increases in interest rates and inflation, on the costs of raw materials, wages, manufacturing and clinical trials and on borrowing costs;</w:t>
      </w:r>
    </w:p>
    <w:p>
      <w:pPr>
        <w:spacing w:after="0" w:line="92" w:lineRule="exact"/>
        <w:rPr>
          <w:rFonts w:ascii="Arial" w:cs="Arial" w:eastAsia="Arial" w:hAnsi="Arial"/>
          <w:sz w:val="18"/>
          <w:szCs w:val="18"/>
          <w:color w:val="auto"/>
        </w:rPr>
      </w:pPr>
    </w:p>
    <w:p>
      <w:pPr>
        <w:ind w:left="980" w:right="220" w:hanging="324"/>
        <w:spacing w:after="0" w:line="275"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anticipated amounts of future tax payments and benefits (including the potential recognition of unrecognized tax benefits), as well as timing of conclusion of tax audits; and</w:t>
      </w:r>
    </w:p>
    <w:p>
      <w:pPr>
        <w:spacing w:after="0" w:line="106" w:lineRule="exact"/>
        <w:rPr>
          <w:rFonts w:ascii="Arial" w:cs="Arial" w:eastAsia="Arial" w:hAnsi="Arial"/>
          <w:sz w:val="18"/>
          <w:szCs w:val="18"/>
          <w:color w:val="auto"/>
        </w:rPr>
      </w:pPr>
    </w:p>
    <w:p>
      <w:pPr>
        <w:ind w:left="980" w:right="20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identified elsewhere in this prospectus or in our filings with the SEC that are incorporated by reference herein, including those factors described in our Annual Report on Form 10-K for the year ended December 31, 2022 and our Quarterly Report on Form 10-Q for the quarter ended June 30, 2023.</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forward-looking statements in this prospectus supplement and the accompanying prospectus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“Risk Factors” and elsewhere in this prospectus supplement. Given these uncertainties, you should not place undue reliance on any forward-looking statements. Except as required by law, we assume no obligation to update or revise any forward-looking statements for any reason, even if new information becomes available in the future.</w:t>
      </w:r>
    </w:p>
    <w:p>
      <w:pPr>
        <w:spacing w:after="0" w:line="11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prospectus supplement and the accompanying prospectus contain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prospectus supplement.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analyses that may, in the future, not prove to have been accurate.</w:t>
      </w:r>
    </w:p>
    <w:p>
      <w:pPr>
        <w:spacing w:after="0" w:line="12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You should read this prospectus supplement and the documents that we reference in this prospectus supplement and have filed as exhibits to the registration statement, of which this prospectus supplement is a part, completely and with the understanding that our actual future results may be materially different from what we expect. We qualify all of the forward-looking statements in this prospectus supplement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USE OF PROCEEDS</w:t>
      </w:r>
    </w:p>
    <w:p>
      <w:pPr>
        <w:spacing w:after="0" w:line="32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may issue and sell common shares having aggregate sales proceeds of up to $150.0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common shares under or fully utilize the equity distribution agreement with the sales agent as a source of financing.</w:t>
      </w:r>
    </w:p>
    <w:p>
      <w:pPr>
        <w:spacing w:after="0" w:line="109"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We currently plan to use the net proceeds we receive from this offering for business development opportunities and other corporate purposes.</w:t>
      </w:r>
    </w:p>
    <w:p>
      <w:pPr>
        <w:spacing w:after="0" w:line="10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In the ordinary course of our business, we expect to from time to time evaluate the acquisition of, investment in or in-license of complementary products, technologies or businesses, and we could use a portion of the net proceeds from this offering for such activities.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Predicting the cost necessary to develop product candidates can be difficult and the amounts and timing of our actual expenditures may vary significantly depending on numerous factors, including the progress of our development, the status of and results from clinical trials, any collaborations that we may enter into with third parties for our product candidates and any unforeseen cash needs.</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plan to hold these net proceeds in non-interest bearing accounts, with the goal of capital preservation and liquidity so that such funds are readily available to fund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60"/>
          </w:cols>
          <w:pgMar w:left="320" w:top="1440" w:right="419" w:bottom="1440" w:gutter="0" w:footer="0" w:header="0"/>
        </w:sectPr>
      </w:pPr>
    </w:p>
    <w:bookmarkStart w:id="16" w:name="page17"/>
    <w:bookmarkEnd w:id="16"/>
    <w:p>
      <w:pPr>
        <w:spacing w:after="0" w:line="1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DILUTION</w:t>
      </w:r>
    </w:p>
    <w:p>
      <w:pPr>
        <w:spacing w:after="0" w:line="32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If you invest in our common shares in this offering, your ownership interest will be diluted immediately to the extent of the difference between the public offering price per common share and the as adjusted net tangible book value per common share immediately after this offering.</w:t>
      </w:r>
    </w:p>
    <w:p>
      <w:pPr>
        <w:spacing w:after="0" w:line="9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historical net tangible book value as of June 30, 2023 was $367.3 million, or $5.38 per common share. Our historical net tangible book value is the amount of our total tangible assets less our total liabilities. Historical net tangible book value per share represents historical net tangible book value divided by the 68,316,953 common shares outstanding as of June 30, 2023.</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After giving effect to the sale of $150.0 million of our common shares in this offering assuming for illustrative purposes that an aggregate of 5,767,012 common shares are sold during the term of the equity distribution agreement at a price of $26.01 per common share, the last reported sale price of our common shares on NYSE on September 29, 2023, and after deducting estimated offering commissions and estimated offering expenses payable by us, our as adjusted net tangible book value as of June 30, 2023, would have been approximately $512.3 million, or $6.91 per common share. This represents an immediate increase in net tangible book value of $1.53 per share to existing shareholders and immediate dilution in net tangible book value of $19.10 per share to investors purchasing common shares in this offering at the assumed public offering price.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per share dilution: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 per share</w:t>
            </w:r>
          </w:p>
        </w:tc>
        <w:tc>
          <w:tcPr>
            <w:tcW w:w="20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Historical net tangible book value per share as of June 30, 2023</w:t>
            </w:r>
          </w:p>
        </w:tc>
        <w:tc>
          <w:tcPr>
            <w:tcW w:w="20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as adjusted net tangible book value per share attributable to this offering</w:t>
            </w:r>
          </w:p>
        </w:tc>
        <w:tc>
          <w:tcPr>
            <w:tcW w:w="20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0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30"/>
        </w:trPr>
        <w:tc>
          <w:tcPr>
            <w:tcW w:w="8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purchasing common shares in this offering</w:t>
            </w:r>
          </w:p>
        </w:tc>
        <w:tc>
          <w:tcPr>
            <w:tcW w:w="2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r>
    </w:tbl>
    <w:p>
      <w:pPr>
        <w:spacing w:after="0" w:line="23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number of common shares to be outstanding immediately after this offering is based on 68,316,953 common shares outstanding as of June 30, 2023.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above do not include:</w:t>
      </w:r>
    </w:p>
    <w:p>
      <w:pPr>
        <w:spacing w:after="0" w:line="158" w:lineRule="exact"/>
        <w:rPr>
          <w:sz w:val="20"/>
          <w:szCs w:val="20"/>
          <w:color w:val="auto"/>
        </w:rPr>
      </w:pPr>
    </w:p>
    <w:p>
      <w:pPr>
        <w:ind w:left="660" w:right="500" w:hanging="328"/>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9,639,557 common shares issuable upon the exercise of stock options outstanding as of June 30, 2023, at a weighted average exercise price of $7.64 per share;</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2,129,777 common shares reserved for future issuance of awards under the 2022 Plan;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1,032,949 common shares reserved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MATERIAL UNITED STATES FEDERAL INCOME TAX CONSIDERATIONS</w:t>
      </w:r>
    </w:p>
    <w:p>
      <w:pPr>
        <w:spacing w:after="0" w:line="3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section describes the material U.S. federal income tax consequences of the ownership of our common shares. This section applies solely to holders that acquire our common shares pursuant to this offering and that will hold such common shares as capital assets for tax purposes. This section addresses only U.S. federal income taxation and does not discuss all of the tax consequences that may be relevant to a holder in light of such holder’s individual circumstances, including non-U.S., state or local tax consequences, estate and gift tax consequences, and tax consequences arising under the Medicare contribution tax on net investment income or the alternative minimum tax. This section does not apply to holders subject to special rules, including:</w:t>
      </w:r>
    </w:p>
    <w:p>
      <w:pPr>
        <w:spacing w:after="0" w:line="11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dealer in securities or foreign currencies;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securities holdings;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bank, financial institution, or insurance company;</w:t>
      </w:r>
    </w:p>
    <w:p>
      <w:pPr>
        <w:spacing w:after="0" w:line="157" w:lineRule="exact"/>
        <w:rPr>
          <w:rFonts w:ascii="Arial" w:cs="Arial" w:eastAsia="Arial" w:hAnsi="Arial"/>
          <w:sz w:val="18"/>
          <w:szCs w:val="18"/>
          <w:color w:val="auto"/>
        </w:rPr>
      </w:pPr>
    </w:p>
    <w:p>
      <w:pPr>
        <w:ind w:left="980" w:right="300" w:hanging="324"/>
        <w:spacing w:after="0" w:line="275"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person that directly, indirectly or constructively owns 5% or more of the combined voting power of our common shares, or of the total value of our common shares;</w:t>
      </w:r>
    </w:p>
    <w:p>
      <w:pPr>
        <w:spacing w:after="0" w:line="92" w:lineRule="exact"/>
        <w:rPr>
          <w:rFonts w:ascii="Arial" w:cs="Arial" w:eastAsia="Arial" w:hAnsi="Arial"/>
          <w:sz w:val="18"/>
          <w:szCs w:val="18"/>
          <w:color w:val="auto"/>
        </w:rPr>
      </w:pPr>
    </w:p>
    <w:p>
      <w:pPr>
        <w:ind w:left="980" w:right="400" w:hanging="324"/>
        <w:spacing w:after="0" w:line="275"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person that holds our common shares as part of a straddle or a hedging, conversion, or other risk reduction transaction for U.S. federal income tax purposes;</w:t>
      </w:r>
    </w:p>
    <w:p>
      <w:pPr>
        <w:spacing w:after="0" w:line="106"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person that acquires or sells our common shares as a part of wash sale for U.S. federal income tax purposes;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person that acquired our common shares pursuant to the exercise of employee share options or otherwise as compensation;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 or</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in this offering who are existing shareholders of our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our common shares that is, for U.S. federal income tax purposes:</w:t>
      </w:r>
    </w:p>
    <w:p>
      <w:pPr>
        <w:spacing w:after="0" w:line="15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individual that is a citizen or resident of the United States;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57" w:lineRule="exact"/>
        <w:rPr>
          <w:rFonts w:ascii="Arial" w:cs="Arial" w:eastAsia="Arial" w:hAnsi="Arial"/>
          <w:sz w:val="18"/>
          <w:szCs w:val="18"/>
          <w:color w:val="auto"/>
        </w:rPr>
      </w:pPr>
    </w:p>
    <w:p>
      <w:pPr>
        <w:ind w:left="980" w:right="100" w:hanging="324"/>
        <w:spacing w:after="0" w:line="275"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if a U.S. court can exercise primary supervision over the trust’s administration and one or more persons are authorized to control all substantial decisions of the trust.</w:t>
      </w:r>
    </w:p>
    <w:p>
      <w:pPr>
        <w:spacing w:after="0" w:line="10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section is based on the Internal Revenue Code of 1986, as amended (the “Code”), its legislative history, existing and proposed regulations, published rulings and court decisions, as well as on applicable tax treaties, all as currently in effect. These authorities are subject to change, possibly on a retroactive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3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This discussion is intended to provide only a general summary of the material U.S. federal income tax consequences of owning our common shares. We do not intend it to be a complete analysis or description of all potential U.S. federal income tax consequences of owning our common shares. The U.S. federal income tax laws are complex and subject to varying interpretations. Accordingly, the Internal Revenue Service (“IRS”) may not agree with the tax consequences described in this Registration Statement.</w:t>
      </w:r>
    </w:p>
    <w:p>
      <w:pPr>
        <w:spacing w:after="0" w:line="1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16"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shares, the U.S. federal income tax treatment of a partner will generally depend on the status of the partner and the tax treatment of the partnership. A partner in an entity or arrangement treated as a partnership for U.S. federal income tax purposes holding shares should consult its tax advisors with regard to the U.S. federal income tax treatment of our common shares.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Holders</w:t>
      </w:r>
    </w:p>
    <w:p>
      <w:pPr>
        <w:spacing w:after="0" w:line="14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tax treatment of our common shares will depend in part on whether or not we are classified as a passive foreign investment company, or PFIC, for U.S. federal income tax purposes. Except as discussed below under “—PFIC Considerations,” this discussion assumes that we are not classified as a PFIC for U.S. federal income tax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6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U.S. federal income tax laws, the gross amount of any distribution we pay out of our current or accumulated earnings and profits (as determined for U.S. federal income tax purposes), other than certain pro -rata distributions of our shares, will be treated as a dividend that is subject to U.S. federal income taxation. For a noncorporate U.S. holder, dividends that constitute qualified dividend income will be taxable to the holder at the preferential rates applicable to long-term capital gains, provided that the holder holds the shares for more than 60 days during the 121-day period beginning 60 days before the ex-dividend date and meets other holding period requirements. For this purpose, our common shares are treated as stock of a “qualified foreign corporation” if our common shares are readily tradable on an established securities market in the United States. Our common shares are listed on the NYSE, which is treated as an established securities market in the United States for these purposes, in which case dividends that we pay with respect to its common shares would generally constitute qualified dividend income, assuming the holding period requirements are met. However, we can give no assurances in this regard.</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U.S. holder must include any foreign tax withheld, if any, from the dividend payment in this gross amount even though the holder does not in fact receive it. The dividend is taxable to a U.S. holder when the holder receives the dividend, actually or constructively. The dividend will not be eligible for the dividends-received deduction generally allowed to United States corporations in respect of dividends received from other United States corporations. Distributions in excess of current and accumulated earnings and profits, as determined for U.S. federal income tax purposes, will be treated as a non-taxable return of capital to the extent of the holder’s basis in the shares and thereafter as capital gain. We do not currently expect to calculate earnings and profits in accordance with U.S. federal income tax principles. Accordingly, a U.S. holder should expect to generally treat distributions that we make as dividends.</w:t>
      </w:r>
    </w:p>
    <w:p>
      <w:pPr>
        <w:spacing w:after="0" w:line="127"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Subject to certain limitations and the following sentence, the foreign tax withheld, if any, and paid over to foreign countries may be creditable or deductible against a U.S. holder’s U.S. federal income tax liability. Special rules apply in determining the foreign tax credit limitation with respect to dividends that are subject to the preferential tax rates. To the extent a reduction or refund of the tax withheld is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2"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holder under foreign law, the amount of tax withheld that could have been reduced or that is refundable will not be eligible for credit against the holder’s U.S. federal income tax liability.</w:t>
      </w:r>
    </w:p>
    <w:p>
      <w:pPr>
        <w:spacing w:after="0" w:line="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Dividends will generally be income from sources outside the United States and will generally be “passive” income for purposes of computing the foreign tax credit allowable to a U.S holder. However, if (a) we are 50% or more owned, by vote or value, by United States persons and</w:t>
      </w:r>
    </w:p>
    <w:p>
      <w:pPr>
        <w:spacing w:after="0" w:line="1" w:lineRule="exact"/>
        <w:rPr>
          <w:sz w:val="20"/>
          <w:szCs w:val="20"/>
          <w:color w:val="auto"/>
        </w:rPr>
      </w:pPr>
    </w:p>
    <w:p>
      <w:pPr>
        <w:ind w:right="40" w:firstLine="8"/>
        <w:spacing w:after="0" w:line="252"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 There can be no assurance that no portion of our dividends will be treated as derived from sources within the United States pursuant to the rule described in this paragraph.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 U.S. holder sells or otherwise disposes of our common shares, the holder will recognize capital gain or loss for U.S. federal income tax purposes equal to the difference between the U.S. dollar value of the amount that the holder realizes and the holder’s tax basis, determined in U.S. dollars, in the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Considerations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that our common shares should not currently be stock of a PFIC for U.S. federal income tax purposes and do not expect to become a PFIC in the foreseeable future. However, the determination of whether we are a PFIC is a fact-intensive determination made on an annual basis applying principles and methodologies which in some circumstances are unclear and subject to varying interpretation. In particular, the determination of whether we are a PFIC and the characterization of our assets as active or passive may depend in part on (i) our current and intended future business plans which are subject to change and (ii) the application of certain “look-through” rules. For our current and future taxable years, the total value of our assets for PFIC testing purposes may fluctuate considerably from time to time, and is dependent on the application (which inherently involves an element of judgment) of the relevant valuation assumptions and methodologies. Under the income test, our status as a PFIC depends on the composition of our income which, in our current and future taxable years, we may not be able to fully control, for example, with respect to income attributed to us from entities owned 25% or more by us. The composition of our income and assets is also affected by how, and how quickly, we spend the cash raised in this and any other offering. Therefore, we cannot provide any assurance regarding PFIC status for any past, current or future taxable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general, we will be a PFIC with respect to a U.S. holder if for any taxable year in which the holder held our common shares:</w:t>
      </w:r>
    </w:p>
    <w:p>
      <w:pPr>
        <w:spacing w:after="0" w:line="14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75% of our gross income for the taxable year is passive income; or</w:t>
      </w:r>
    </w:p>
    <w:p>
      <w:pPr>
        <w:spacing w:after="0" w:line="157" w:lineRule="exact"/>
        <w:rPr>
          <w:rFonts w:ascii="Arial" w:cs="Arial" w:eastAsia="Arial" w:hAnsi="Arial"/>
          <w:sz w:val="18"/>
          <w:szCs w:val="18"/>
          <w:color w:val="auto"/>
        </w:rPr>
      </w:pPr>
    </w:p>
    <w:p>
      <w:pPr>
        <w:ind w:left="980" w:right="160" w:hanging="324"/>
        <w:spacing w:after="0" w:line="275"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50% of the value, determined on the basis of a quarterly average, of our assets is attributable to assets that produce or are held for the production of passive income.</w:t>
      </w:r>
    </w:p>
    <w:p>
      <w:pPr>
        <w:spacing w:after="0" w:line="10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Other than with respect to stock of a domestic corporation that is 25%-owned (by value) by certain foreign corporations,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320" w:top="1440" w:right="379" w:bottom="1440" w:gutter="0" w:footer="0" w:header="0"/>
        </w:sectPr>
      </w:pPr>
    </w:p>
    <w:bookmarkStart w:id="20" w:name="page21"/>
    <w:bookmarkEnd w:id="20"/>
    <w:p>
      <w:pPr>
        <w:spacing w:after="0" w:line="132"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If we are or become a PFIC, and a U.S. holder did not make a mark-to-market election, as described below, the holder will generally be subject to special rules with respect to:</w:t>
      </w:r>
    </w:p>
    <w:p>
      <w:pPr>
        <w:spacing w:after="0" w:line="9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gain the holder realizes on the sale or other disposition of the shares; and</w:t>
      </w:r>
    </w:p>
    <w:p>
      <w:pPr>
        <w:spacing w:after="0" w:line="157" w:lineRule="exact"/>
        <w:rPr>
          <w:rFonts w:ascii="Arial" w:cs="Arial" w:eastAsia="Arial" w:hAnsi="Arial"/>
          <w:sz w:val="18"/>
          <w:szCs w:val="18"/>
          <w:color w:val="auto"/>
        </w:rPr>
      </w:pPr>
    </w:p>
    <w:p>
      <w:pPr>
        <w:ind w:left="980" w:hanging="324"/>
        <w:spacing w:after="0" w:line="258"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excess distribution that we make to the holder (generally, any distributions to the holder during a single taxable year, other than the taxable year in which the holder’s holding period in the shares begins, that are greater than 125% of the average annual distributions received by the holder in respect of the shares during the three preceding taxable years or, if shorter, the holder’s holding period for the shares that preceded the taxable year in which the holder receives the distribution).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Under these rules:</w:t>
      </w:r>
    </w:p>
    <w:p>
      <w:pPr>
        <w:spacing w:after="0" w:line="14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the holder’s holding period for the shares;</w:t>
      </w:r>
    </w:p>
    <w:p>
      <w:pPr>
        <w:spacing w:after="0" w:line="157" w:lineRule="exact"/>
        <w:rPr>
          <w:rFonts w:ascii="Arial" w:cs="Arial" w:eastAsia="Arial" w:hAnsi="Arial"/>
          <w:sz w:val="18"/>
          <w:szCs w:val="18"/>
          <w:color w:val="auto"/>
        </w:rPr>
      </w:pPr>
    </w:p>
    <w:p>
      <w:pPr>
        <w:ind w:left="980" w:right="220" w:hanging="324"/>
        <w:spacing w:after="0" w:line="275"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allocated to the taxable year in which the holder realized the gain or excess distribution or to prior years before the first year in which we were a PFIC with respect to the holder will be taxed as ordinary income;</w:t>
      </w:r>
    </w:p>
    <w:p>
      <w:pPr>
        <w:spacing w:after="0" w:line="106"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allocated to each other prior year will be taxed at the highest tax rate in effect for that year; and</w:t>
      </w:r>
    </w:p>
    <w:p>
      <w:pPr>
        <w:spacing w:after="0" w:line="144" w:lineRule="exact"/>
        <w:rPr>
          <w:rFonts w:ascii="Arial" w:cs="Arial" w:eastAsia="Arial" w:hAnsi="Arial"/>
          <w:sz w:val="18"/>
          <w:szCs w:val="18"/>
          <w:color w:val="auto"/>
        </w:rPr>
      </w:pPr>
    </w:p>
    <w:p>
      <w:pPr>
        <w:ind w:left="980" w:right="220" w:hanging="324"/>
        <w:spacing w:after="0" w:line="275"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Special rules apply for calculating the amount of the foreign tax credit with respect to excess distributions by a PFIC.</w:t>
      </w:r>
    </w:p>
    <w:p>
      <w:pPr>
        <w:spacing w:after="0" w:line="15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If we are a PFIC and, at any time, have a non-U.S. subsidiary that is classified as a PFIC, a U.S. holder generally would be deemed to own a portion of the shares of such lower-tier PFIC, and generally could incur liability for the deferred tax and interest charge described above if we (or our subsidiary) receive a distribution from, or dispose of all or part of our interest in, the lower-tier PFIC or if the a U.S. holder otherwise was deemed to have disposed of an interest in the lower-tier PFIC.</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we are or become a PFIC in a taxable year and our common shares are treated as “marketable stock” in such year, a U.S. holder may make a mark-to-market election with respect to the shares. If the U.S. holder makes this election, the holder will not be subject to the PFIC rules described above. Instead, in general, the holder will include as ordinary income each year the excess, if any, of the fair market value of the shares at the end of the taxable year over the holder’s adjusted basis in the shares. The holder will also be allowed to take an ordinary loss in respect of the excess, if any, of the adjusted basis of the shares over their fair market value at the end of the taxable year (but only to the extent of the net amount of previously included income as a result of the mark-to-market election). The U.S. holder’s basis in the shares will be adjusted to reflect any such income or loss amounts. Any gain that the holder recognizes on the sale or other disposition of the shares would be ordinary income and any loss would be an ordinary loss to the extent of the net amount of previously included income as a result of the mark-to-market election and, thereafter, a capital loss.</w:t>
      </w:r>
    </w:p>
    <w:p>
      <w:pPr>
        <w:spacing w:after="0" w:line="1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 including NYSE (on which the shares are listed), or on a foreign exchange or market that the IRS determines has rules sufficient to ensure that the market price represents a legitimate and sound fair market value. Moreover, a mark-to-market election made with respect to shares of a U.S. holder would not apply to the holder’s indirect interest in any lower tier PFICs in which we own shares. U.S. holders should consult their tax advisors regarding the availability and tax consequences of a mark-to-market election with respect to their shares under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3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 U.S. holder’s shares will generally be treated as stock in a PFIC if we are or become a PFIC at any time during the holder’s holding period in the shares, even if we are not currently a PFIC.</w:t>
      </w:r>
    </w:p>
    <w:p>
      <w:pPr>
        <w:spacing w:after="0" w:line="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notwithstanding any election a U.S. holder makes with regard to the shares, dividends that the holder receives from us will not constitute qualified dividend income to the holder if we are a PFIC (or are treated as a PFIC with respect to the holder) either in the taxable year of the distribution or the preceding taxable year. Dividends that the holder receives that do not constitute qualified dividend income are not eligible for taxation at the preferential rates applicable to qualified dividend income. Instead, the holder must include the gross amount of any such dividend paid by us out of our accumulated earnings and profits (as determined for U.S. federal income tax purposes) in the holder’s gross income, and it will be subject to tax at rates applicable to ordinary income.</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certain circumstances, a U.S. holder of shares in a PFIC may alleviate some of the adverse tax consequences described above by making a QEF election to include in income its pro rata share of the corporation’s income on a current basis. However, a U.S. holder may make a QEF election with respect to our common shares only if we agree to furnish such U.S. holder annually with a PFIC annual information statement as specified in the applicable U.S. Treasury Regulations. We currently do not intend to prepare or provide the information that would enable U.S. holders to make a QEF election if we are treated as a PFIC for any taxable year, and U.S. holders of our common shares should assume that a QEF election will not be available.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If a U.S. holder owns shares during any year that we are a PFIC with respect to the holder, the holder may be required to file IRS Form 8621.</w:t>
      </w:r>
    </w:p>
    <w:p>
      <w:pPr>
        <w:spacing w:after="0" w:line="14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U.S. holders should consult their tax advisors as to the application of the PFIC rules in the event that our common shares were treated as stock of a PFIC.</w:t>
      </w:r>
    </w:p>
    <w:p>
      <w:pPr>
        <w:spacing w:after="0" w:line="10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NO ASSURANCE CAN BE GIVEN REGARDING OUR PFIC STATUS FOR ANY CURRENT OR FUTURE TAXABLE YEARS. U.S. HOLDERS SHOULD CONSULT THEIR OWN TAX ADVISORS WITH RESPECT TO THE OPERATION OF THE PFIC RULES AND RELATED REPORTING REQUIREMENTS IN LIGHT OF THEIR PARTICULAR CIRCUMSTANCES, INCLUDING THE ADVISABILITY OF MAKING ANY ELECTION THAT MAY BE AVAILABLE.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Reporting</w:t>
      </w:r>
    </w:p>
    <w:p>
      <w:pPr>
        <w:spacing w:after="0" w:line="15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Non-U.S. 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Dividends paid to a non-U.S. holder in respect of our common shares will not be subject to U.S. federal income tax unless the dividends are “effectively connected” with the holder’s conduct of a trade or business within the United States, and the dividends are attributable to a permanent establishment that the holder maintains in the United States if that is required by an applicable income tax treaty as a condition for subjecting the holder to United States taxation on a net income basis. In such cases, the holder generally will be taxed in the same manner as a U.S. holder. For a corporate non-U.S. holder, “effectively connected” dividends may, under certain circumstances, be subject to an additional “branch profits tax” at a 30% rate or at a lower rate if the holder is eligible for the benefits of an income tax treaty that provides for a lower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15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A non-U.S. holder will not be subject to U.S. federal income tax on gain recognized on the sale or other disposition of our common shares unless:</w:t>
      </w:r>
    </w:p>
    <w:p>
      <w:pPr>
        <w:spacing w:after="0" w:line="106" w:lineRule="exact"/>
        <w:rPr>
          <w:sz w:val="20"/>
          <w:szCs w:val="20"/>
          <w:color w:val="auto"/>
        </w:rPr>
      </w:pPr>
    </w:p>
    <w:p>
      <w:pPr>
        <w:ind w:left="980" w:right="580" w:hanging="324"/>
        <w:spacing w:after="0" w:line="263"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gain is “effectively connected” with the holder’s conduct of a trade or business in the United States, and the gain is attributable to a permanent establishment that the holder maintains in the United States if that is required by an applicable income tax treaty as a condition for subjecting the holder to United States taxation on a net income basis; or</w:t>
      </w:r>
    </w:p>
    <w:p>
      <w:pPr>
        <w:spacing w:after="0" w:line="116" w:lineRule="exact"/>
        <w:rPr>
          <w:rFonts w:ascii="Arial" w:cs="Arial" w:eastAsia="Arial" w:hAnsi="Arial"/>
          <w:sz w:val="18"/>
          <w:szCs w:val="18"/>
          <w:color w:val="auto"/>
        </w:rPr>
      </w:pPr>
    </w:p>
    <w:p>
      <w:pPr>
        <w:ind w:left="980" w:right="220" w:hanging="324"/>
        <w:spacing w:after="0" w:line="275"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is an individual, is present in the United States for 183 or more days in the taxable year of the sale and certain other conditions exist.</w:t>
      </w:r>
    </w:p>
    <w:p>
      <w:pPr>
        <w:spacing w:after="0" w:line="9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a corporate non-U.S. holder, “effectively connected” gains that the holder recognizes may also, under certain circumstances, be subject to an additional “branch profits tax” at a 30% rate or at a lower rate if the holder is eligible for the benefits of an income tax treaty that provides for a lower rate.</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a noncorporate U.S. holder, information reporting requirements, on IRS Form 1099, generally will apply to dividend payments or other taxable distributions made to the holder within the United States, and the payment of proceeds to the holder from the sale of our common shares effected at a United States office of a broker. Additionally, backup withholding may apply to such payments if the holder fails to comply with applicable certification requirements or (in the case of dividend payments) is notified by the IRS that the holder has failed to report all interest and dividends required to be shown on the holder’s federal income tax returns.</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non-U.S. holder is generally exempt from backup withholding and information reporting requirements with respect to dividend payments made to the holder outside the United States by us or another non-United States payor. The non-U.S. holder is also generally exempt from backup withholding and information reporting requirements in respect of dividend payments made within the United States and the payment of the proceeds from the sale of shares effected at a United States office of a broker, as long as either (i) the non-U.S. holder has furnished a valid IRS Form W-8 or other documentation upon which the payor or broker may rely to treat the payments as made to a non-United States person, or (ii) the non-U.S. holder otherwise establishes an exemption.</w:t>
      </w:r>
    </w:p>
    <w:p>
      <w:pPr>
        <w:spacing w:after="0" w:line="1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Payment of the proceeds from the sale of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A person generally may obtain a refund of any amounts withheld under the backup withholding rules that exceed the person’s income tax liability by filing a refund claim with the IRS.</w:t>
      </w:r>
    </w:p>
    <w:p>
      <w:pPr>
        <w:spacing w:after="0" w:line="83" w:lineRule="exact"/>
        <w:rPr>
          <w:sz w:val="20"/>
          <w:szCs w:val="20"/>
          <w:color w:val="auto"/>
        </w:rPr>
      </w:pPr>
    </w:p>
    <w:p>
      <w:pPr>
        <w:jc w:val="both"/>
        <w:ind w:right="260"/>
        <w:spacing w:after="0" w:line="275" w:lineRule="auto"/>
        <w:rPr>
          <w:sz w:val="20"/>
          <w:szCs w:val="20"/>
          <w:color w:val="auto"/>
        </w:rPr>
      </w:pPr>
      <w:r>
        <w:rPr>
          <w:rFonts w:ascii="Arial" w:cs="Arial" w:eastAsia="Arial" w:hAnsi="Arial"/>
          <w:sz w:val="18"/>
          <w:szCs w:val="18"/>
          <w:b w:val="1"/>
          <w:bCs w:val="1"/>
          <w:color w:val="auto"/>
        </w:rPr>
        <w:t>EACH HOLDER SHOULD CONSULT ITS TAX ADVISOR ABOUT THE PARTICULAR CONSEQUENCES OF OWNING OUR COMMON SHARES, INCLUDING THE APPLICATION OF STATE, LOCAL AND FOREIGN TAX LAWS, AND POSSIBLE CHANGES IN TAX LAW THAT MAY AFFECT THE TAX CONSEQUENCES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PLAN OF DISTRIBUTION</w:t>
      </w:r>
    </w:p>
    <w:p>
      <w:pPr>
        <w:spacing w:after="0" w:line="32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entered into an equity distribution agreement with J.P. Morgan, as our sales agent, under which we may offer and sell from time to time our common shares having an aggregate offering price of up to $150.0 million. The sales agent may act as agent on our behalf or purchase common shares as principal.</w:t>
      </w:r>
    </w:p>
    <w:p>
      <w:pPr>
        <w:spacing w:after="0" w:line="10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Sales, if any, of common shares under the equity distribution agreement may be made in ordinary brokers’ transactions, to or through a market maker, on or through the NYSE or any other market venue where the securities may be traded, in the over-the-counter market, in privately negotiated transactions, or through a combination of any such methods of sale. The sales agent may also sell our common shares by any other method permitted by law.</w:t>
      </w:r>
    </w:p>
    <w:p>
      <w:pPr>
        <w:spacing w:after="0" w:line="12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securities may be sold at market prices prevailing at the time of sale, at prices related to such prevailing market prices, or at negotiated prices.</w:t>
      </w:r>
    </w:p>
    <w:p>
      <w:pPr>
        <w:spacing w:after="0" w:line="1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will designate the maximum amount of common shares to be sold through the sales agent on a daily basis or otherwise as we and the sales agent agree and the minimum price per common share at which such common shares may be sold. Subject to the terms and conditions of the equity distribution agreement, the sales agent will use its commercially reasonable efforts consistent with their normal sales and trading practices to sell on our behalf all of the designated common shares. We may instruct the sales agent not to sell any common shares if the sales cannot be effected at or above the price designated by us in any such instruction. We or the sales agent may suspend the offering of our common shares by notifying the other party. The offering of the shares by the sales agent is subject to receipt and acceptance and subject to the sales agent’s right to reject any order in whole or in part.</w:t>
      </w:r>
    </w:p>
    <w:p>
      <w:pPr>
        <w:spacing w:after="0" w:line="1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sales agent will provide to us written confirmation following the close of trading on the NYSE each day on which common shares are sold under the equity distribution agreement. Each confirmation will include the number of common shares sold on such day, the gross sales proceeds, and the compensation payable by us to the sales agent. We will report at least quarterly the number of common shares sold through the sales agent under the equity distribution agreement, the net proceeds to us (before expenses), and the compensation paid by us to the sales agent in connection with the sales of the common shares.</w:t>
      </w:r>
    </w:p>
    <w:p>
      <w:pPr>
        <w:spacing w:after="0" w:line="1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We will pay the sales agent a commission of up to 3.00% of the gross sales price per common share sold through such agent under the equity distribution agreement. We have also agreed to reimburse the sales agents for certain of their expenses in an amount of up to $75,000, in addition to an amount not to exceed $12,500 per each quarter thereafter.</w:t>
      </w:r>
    </w:p>
    <w:p>
      <w:pPr>
        <w:spacing w:after="0" w:line="11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Settlement of any sales of common shares will occur on the second business day following the date on which such sales were made (or such earlier day as is industry practice for regular-way trading). There is no arrangement for funds to be received in an escrow, trust, or similar arrangement. Sales of our common shares as contemplated in this prospectus supplement will be settled through the facilities of The Depository Trust Company or by such other means as we and the sales agent may agree.</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offering of our common shares pursuant to the equity distribution agreement will terminate upon the earlier of (i) the sale of all of our common shares subject to the equity distribution agreement or (ii) termination of the equity distribution agreement by us or by the sales agent as provided therein.</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connection with the sale of common shares on our behalf, the sales agent may be deemed to be an “underwriter” within the meaning of the Securities Act, and the compensation paid to the sales agent may be deemed to be underwriting commissions or discounts.</w:t>
      </w:r>
    </w:p>
    <w:p>
      <w:pPr>
        <w:spacing w:after="0" w:line="9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We have agreed to provide indemnification and contribution to the sales agent against certain liabilities, including civil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than in the United States, no action has been taken by us or the sales agents that would permit a public offering of the securities offered by this prospectus supplement and the accompanying prospectus in any jurisdiction where action for that purpose is required. The securities offered by this prospectus supplement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1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57" w:lineRule="exact"/>
        <w:rPr>
          <w:rFonts w:ascii="Arial" w:cs="Arial" w:eastAsia="Arial" w:hAnsi="Arial"/>
          <w:sz w:val="18"/>
          <w:szCs w:val="18"/>
          <w:color w:val="auto"/>
        </w:rPr>
      </w:pPr>
    </w:p>
    <w:p>
      <w:pPr>
        <w:ind w:left="980" w:right="60" w:hanging="324"/>
        <w:spacing w:after="0" w:line="275"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10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0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relation to the United Kingdom, no shares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any other circumstances falling within Section 86 of the Financial Services and Markets Act 2000, or the FSMA, provided that no such offer of the shares shall require the Issuer or any representative to publish a prospectus pursuant to Section 85 of the FSMA or supplement a prospectus pursuant to Article 23 of the UK Prospectus Regulation.</w:t>
      </w:r>
    </w:p>
    <w:p>
      <w:pPr>
        <w:spacing w:after="0" w:line="10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this prospectus supplement is only being distributed to, and is only directed at, and any investment or investment activity to which this prospectus supplement relates is available only to, and will be engaged in only with, persons who are outside the United Kingdom or persons in the United Kingdom (i) having professional experience in matters relating to investments who fall within the definition of “investment professionals” in Article 19(5) of the Financial Services and Markets Act 2000 (Financial Promotion) Order 2005, or the Order; or</w:t>
      </w:r>
    </w:p>
    <w:p>
      <w:pPr>
        <w:spacing w:after="0" w:line="3" w:lineRule="exact"/>
        <w:rPr>
          <w:sz w:val="20"/>
          <w:szCs w:val="20"/>
          <w:color w:val="auto"/>
        </w:rPr>
      </w:pPr>
    </w:p>
    <w:p>
      <w:pPr>
        <w:ind w:firstLine="8"/>
        <w:spacing w:after="0" w:line="256" w:lineRule="auto"/>
        <w:tabs>
          <w:tab w:leader="none" w:pos="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who are high net worth entities falling within Article 49(2)(a) to (d) of the Order (all such persons together being referred to as “relevant persons”). Persons who are not relevant persons should not take any action on the basis of this prospectus supplement and should not act or rely on it.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Pursuant to section 3A.3 of National Instrument 33-105 Underwriting Conflicts (NI 33-105), the sales agent is not required to comply with the disclosure requirements of NI 33-105 regarding sales agent conflicts of interest in connection with this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 under art. 652a or art. 1156 of the Swiss Code of Obligations or the disclosure standards for listing prospectus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or DIFC</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or 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supplement:</w:t>
      </w:r>
    </w:p>
    <w:p>
      <w:pPr>
        <w:spacing w:after="0" w:line="158" w:lineRule="exact"/>
        <w:rPr>
          <w:sz w:val="20"/>
          <w:szCs w:val="20"/>
          <w:color w:val="auto"/>
        </w:rPr>
      </w:pPr>
    </w:p>
    <w:p>
      <w:pPr>
        <w:ind w:left="980" w:right="620" w:hanging="324"/>
        <w:spacing w:after="0" w:line="275"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or the Corporations Act;</w:t>
      </w:r>
    </w:p>
    <w:p>
      <w:pPr>
        <w:spacing w:after="0" w:line="106" w:lineRule="exact"/>
        <w:rPr>
          <w:rFonts w:ascii="Arial" w:cs="Arial" w:eastAsia="Arial" w:hAnsi="Arial"/>
          <w:sz w:val="18"/>
          <w:szCs w:val="18"/>
          <w:color w:val="auto"/>
        </w:rPr>
      </w:pPr>
    </w:p>
    <w:p>
      <w:pPr>
        <w:jc w:val="both"/>
        <w:ind w:left="980" w:right="520" w:hanging="324"/>
        <w:spacing w:after="0" w:line="263"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02" w:lineRule="exact"/>
        <w:rPr>
          <w:rFonts w:ascii="Arial" w:cs="Arial" w:eastAsia="Arial" w:hAnsi="Arial"/>
          <w:sz w:val="18"/>
          <w:szCs w:val="18"/>
          <w:color w:val="auto"/>
        </w:rPr>
      </w:pPr>
    </w:p>
    <w:p>
      <w:pPr>
        <w:ind w:left="980" w:right="720" w:hanging="324"/>
        <w:spacing w:after="0" w:line="275"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or the Exempt Investors.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6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sales agent has acknowledged that this prospectus supplement has not been registered as a prospectus with the Monetary Authority of Singapore. Accordingly, the sales agent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111" w:lineRule="exact"/>
        <w:rPr>
          <w:sz w:val="20"/>
          <w:szCs w:val="20"/>
          <w:color w:val="auto"/>
        </w:rPr>
      </w:pPr>
    </w:p>
    <w:p>
      <w:pPr>
        <w:ind w:left="980" w:right="20" w:hanging="324"/>
        <w:spacing w:after="0" w:line="275" w:lineRule="auto"/>
        <w:tabs>
          <w:tab w:leader="none" w:pos="9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06" w:lineRule="exact"/>
        <w:rPr>
          <w:rFonts w:ascii="Arial" w:cs="Arial" w:eastAsia="Arial" w:hAnsi="Arial"/>
          <w:sz w:val="18"/>
          <w:szCs w:val="18"/>
          <w:color w:val="auto"/>
        </w:rPr>
      </w:pPr>
    </w:p>
    <w:p>
      <w:pPr>
        <w:ind w:left="980" w:right="120" w:hanging="324"/>
        <w:spacing w:after="0" w:line="275" w:lineRule="auto"/>
        <w:tabs>
          <w:tab w:leader="none" w:pos="9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6"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320" w:top="1440" w:right="379" w:bottom="1440" w:gutter="0" w:footer="0" w:header="0"/>
        </w:sectPr>
      </w:pPr>
    </w:p>
    <w:bookmarkStart w:id="28" w:name="page29"/>
    <w:bookmarkEnd w:id="28"/>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44" w:lineRule="exact"/>
        <w:rPr>
          <w:sz w:val="20"/>
          <w:szCs w:val="20"/>
          <w:color w:val="auto"/>
        </w:rPr>
      </w:pPr>
    </w:p>
    <w:p>
      <w:pPr>
        <w:ind w:left="980" w:right="180" w:hanging="324"/>
        <w:spacing w:after="0" w:line="263" w:lineRule="auto"/>
        <w:tabs>
          <w:tab w:leader="none" w:pos="9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980" w:right="200" w:hanging="324"/>
        <w:spacing w:after="0" w:line="256" w:lineRule="auto"/>
        <w:tabs>
          <w:tab w:leader="none" w:pos="9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4" w:lineRule="exact"/>
        <w:rPr>
          <w:rFonts w:ascii="Arial" w:cs="Arial" w:eastAsia="Arial" w:hAnsi="Arial"/>
          <w:sz w:val="18"/>
          <w:szCs w:val="18"/>
          <w:color w:val="auto"/>
        </w:rPr>
      </w:pPr>
    </w:p>
    <w:p>
      <w:pPr>
        <w:ind w:left="1300" w:right="100" w:hanging="320"/>
        <w:spacing w:after="0" w:line="275"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92"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1300" w:right="640" w:hanging="320"/>
        <w:spacing w:after="0" w:line="275"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w:t>
      </w:r>
    </w:p>
    <w:p>
      <w:pPr>
        <w:spacing w:after="0" w:line="122" w:lineRule="exact"/>
        <w:rPr>
          <w:sz w:val="20"/>
          <w:szCs w:val="20"/>
          <w:color w:val="auto"/>
        </w:rPr>
      </w:pPr>
    </w:p>
    <w:p>
      <w:pPr>
        <w:ind w:right="180"/>
        <w:spacing w:after="0" w:line="414" w:lineRule="auto"/>
        <w:rPr>
          <w:sz w:val="20"/>
          <w:szCs w:val="20"/>
          <w:color w:val="auto"/>
        </w:rPr>
      </w:pPr>
      <w:r>
        <w:rPr>
          <w:rFonts w:ascii="Arial" w:cs="Arial" w:eastAsia="Arial" w:hAnsi="Arial"/>
          <w:sz w:val="18"/>
          <w:szCs w:val="18"/>
          <w:color w:val="auto"/>
        </w:rPr>
        <w:t xml:space="preserve">SFA 04-N12: Notice on the Sale of Investment Products and MAS Notice FAA-N16: Notice on Recommendations on Investment Products). </w:t>
      </w:r>
      <w:r>
        <w:rPr>
          <w:rFonts w:ascii="Arial" w:cs="Arial" w:eastAsia="Arial" w:hAnsi="Arial"/>
          <w:sz w:val="18"/>
          <w:szCs w:val="18"/>
          <w:b w:val="1"/>
          <w:bCs w:val="1"/>
          <w:i w:val="1"/>
          <w:iCs w:val="1"/>
          <w:color w:val="auto"/>
        </w:rPr>
        <w:t>Notice to prospective investors in Bermuda</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us. The shares may be offered to companies incorporated under the BVI Business Companies Act (As Revised), or companies incorporated in British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32"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Virgin Islands, but only where the offer will be made to, and received by, the relevant BVI Company entirely outside of the British Virgin Islands. This prospectus supplement has not been, and will not be, registered with the Financial Services Commission of the British Virgin Islands. No registered prospectus has been or will be prepared in respect of our common shares for the purposes of the Securities and Investment Business Act (As Revised) or the Public Issuers Code of the British Virgin Islands.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6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This prospectus supplement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or the FSCMA, and the decrees and regulations thereunder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or the FETL, and the decrees and regulations thereunder. The shares have not been listed on any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No prospectus or other offering material or document in connection with the offer and sale of our common shares has been or will be registered with the Securities Commission of Malaysia, or the Commission, for the Commission’s approval pursuant to the Capital Markets and Services Act 2007. Accordingly, this prospectus supplement and any other document or material in connection with the offer or sale, or invitation for subscription or purchase, of our common shares may not be circulated or distributed, nor may our common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our common shares, as principal, if the offer is on terms that our common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our common shares is made by a holder of a Capital Markets Services Licence who carries on the business of dealing in securities. The distribution in Malaysia of this prospectus supplement is subject to Malaysian laws. This prospectus supplement does not constitute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96 (1)(a) the offer, transfer, sale, renunciation or delivery is to:</w:t>
      </w:r>
    </w:p>
    <w:p>
      <w:pPr>
        <w:spacing w:after="0" w:line="158" w:lineRule="exact"/>
        <w:rPr>
          <w:sz w:val="20"/>
          <w:szCs w:val="20"/>
          <w:color w:val="auto"/>
        </w:rPr>
      </w:pPr>
    </w:p>
    <w:p>
      <w:pPr>
        <w:ind w:left="1140" w:hanging="40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44" w:lineRule="exact"/>
        <w:rPr>
          <w:rFonts w:ascii="Arial" w:cs="Arial" w:eastAsia="Arial" w:hAnsi="Arial"/>
          <w:sz w:val="18"/>
          <w:szCs w:val="18"/>
          <w:color w:val="auto"/>
        </w:rPr>
      </w:pPr>
    </w:p>
    <w:p>
      <w:pPr>
        <w:ind w:left="1140" w:hanging="40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57" w:lineRule="exact"/>
        <w:rPr>
          <w:rFonts w:ascii="Arial" w:cs="Arial" w:eastAsia="Arial" w:hAnsi="Arial"/>
          <w:sz w:val="18"/>
          <w:szCs w:val="18"/>
          <w:color w:val="auto"/>
        </w:rPr>
      </w:pPr>
    </w:p>
    <w:p>
      <w:pPr>
        <w:ind w:left="1140" w:hanging="40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57" w:lineRule="exact"/>
        <w:rPr>
          <w:rFonts w:ascii="Arial" w:cs="Arial" w:eastAsia="Arial" w:hAnsi="Arial"/>
          <w:sz w:val="18"/>
          <w:szCs w:val="18"/>
          <w:color w:val="auto"/>
        </w:rPr>
      </w:pPr>
    </w:p>
    <w:p>
      <w:pPr>
        <w:ind w:left="1140" w:hanging="40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44" w:lineRule="exact"/>
        <w:rPr>
          <w:rFonts w:ascii="Arial" w:cs="Arial" w:eastAsia="Arial" w:hAnsi="Arial"/>
          <w:sz w:val="18"/>
          <w:szCs w:val="18"/>
          <w:color w:val="auto"/>
        </w:rPr>
      </w:pPr>
    </w:p>
    <w:p>
      <w:pPr>
        <w:ind w:left="1140" w:hanging="40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57" w:lineRule="exact"/>
        <w:rPr>
          <w:rFonts w:ascii="Arial" w:cs="Arial" w:eastAsia="Arial" w:hAnsi="Arial"/>
          <w:sz w:val="18"/>
          <w:szCs w:val="18"/>
          <w:color w:val="auto"/>
        </w:rPr>
      </w:pPr>
    </w:p>
    <w:p>
      <w:pPr>
        <w:ind w:left="1140" w:right="700" w:hanging="403"/>
        <w:spacing w:after="0" w:line="263" w:lineRule="auto"/>
        <w:tabs>
          <w:tab w:leader="none" w:pos="11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16" w:lineRule="exact"/>
        <w:rPr>
          <w:rFonts w:ascii="Arial" w:cs="Arial" w:eastAsia="Arial" w:hAnsi="Arial"/>
          <w:sz w:val="18"/>
          <w:szCs w:val="18"/>
          <w:color w:val="auto"/>
        </w:rPr>
      </w:pPr>
    </w:p>
    <w:p>
      <w:pPr>
        <w:ind w:left="1140" w:hanging="40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Section 96 (1)(b)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1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Information made available in this prospectus supplement should not be considered as “advice” as defined in the South African Financial Advisory and Intermediary Services Act,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shares of common shares under the Israeli Securities Law, 5728-1968, which requires a prospectus to be published and authorized by the Israel Securities Authority, if it complies with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80"/>
          </w:cols>
          <w:pgMar w:left="320" w:top="1440" w:right="399" w:bottom="1440" w:gutter="0" w:footer="0" w:header="0"/>
        </w:sectPr>
      </w:pPr>
    </w:p>
    <w:bookmarkStart w:id="31" w:name="page32"/>
    <w:bookmarkEnd w:id="31"/>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shares to any person within the State of Israel, other than to Qualified Investors and up to 35 Addressed Investors. Qualified Investors may have to submit written evidence that they meet the definitions set out in of the First Addendum to the Israeli Securities Law, 5728-1968. In particular, we may request, as a condition to be offered common shares,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shares; (iv) that the common shares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00"/>
          </w:cols>
          <w:pgMar w:left="320" w:top="1440" w:right="379" w:bottom="1440" w:gutter="0" w:footer="0" w:header="0"/>
        </w:sectPr>
      </w:pPr>
    </w:p>
    <w:bookmarkStart w:id="32" w:name="page33"/>
    <w:bookmarkEnd w:id="32"/>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VALIDITY OF COMMON SHARES</w:t>
      </w:r>
    </w:p>
    <w:p>
      <w:pPr>
        <w:spacing w:after="0" w:line="32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validity of the common shares will be passed upon for us by Maples and Calder, our special British Virgin Islands counsel. Certain other legal matters will be passed upon for us by Sullivan &amp; Cromwell LLP, New York, New York, and for the sales agent by Ropes &amp; Gray LLP, Boston, Massachusetts.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EXPERTS</w:t>
      </w:r>
    </w:p>
    <w:p>
      <w:pPr>
        <w:spacing w:after="0" w:line="32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2022, as set forth in their report, which is incorporated by reference in this prospectus supplement.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WHERE YOU CAN FIND MORE INFORMATION</w:t>
      </w:r>
    </w:p>
    <w:p>
      <w:pPr>
        <w:spacing w:after="0" w:line="32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We file reports, proxy statements and other information with the SEC. Information filed with the SEC is available on the SEC’s website at http://www.sec.gov.</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subject to the information reporting requirements of the Exchange Act, and we have filed and will file reports, proxy statements and other information with the SEC. These reports, proxy statements and other information are available on the SEC’s website at http://www.sec.gov. We also maintain a website at www.biohaven.com,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supplement.</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supplement is part of a registration statement that we filed with the SEC and does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or our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80"/>
          </w:cols>
          <w:pgMar w:left="320" w:top="1440" w:right="399" w:bottom="1440" w:gutter="0" w:footer="0" w:header="0"/>
        </w:sectPr>
      </w:pPr>
    </w:p>
    <w:bookmarkStart w:id="34" w:name="page35"/>
    <w:bookmarkEnd w:id="34"/>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INCORPORATION OF CERTAIN INFORMATION BY REFERENCE</w:t>
      </w:r>
    </w:p>
    <w:p>
      <w:pPr>
        <w:spacing w:after="0" w:line="32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We incorporate by reference into this prospectus the information or documents listed below that we have filed with the SEC (File No. 001-41477):</w:t>
      </w:r>
    </w:p>
    <w:p>
      <w:pPr>
        <w:spacing w:after="0" w:line="11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2022, filed with the SEC on </w:t>
      </w:r>
      <w:hyperlink r:id="rId14">
        <w:r>
          <w:rPr>
            <w:rFonts w:ascii="Arial" w:cs="Arial" w:eastAsia="Arial" w:hAnsi="Arial"/>
            <w:sz w:val="18"/>
            <w:szCs w:val="18"/>
            <w:u w:val="single" w:color="auto"/>
            <w:color w:val="0000FF"/>
          </w:rPr>
          <w:t>March 23, 2023</w:t>
        </w:r>
      </w:hyperlink>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80" w:right="240" w:hanging="324"/>
        <w:spacing w:after="0" w:line="275" w:lineRule="auto"/>
        <w:tabs>
          <w:tab w:leader="none" w:pos="975" w:val="left"/>
        </w:tabs>
        <w:numPr>
          <w:ilvl w:val="0"/>
          <w:numId w:val="32"/>
        </w:numPr>
        <w:rPr>
          <w:rFonts w:ascii="Arial" w:cs="Arial" w:eastAsia="Arial" w:hAnsi="Arial"/>
          <w:sz w:val="18"/>
          <w:szCs w:val="18"/>
          <w:color w:val="0000FF"/>
        </w:rPr>
      </w:pPr>
      <w:r>
        <w:rPr>
          <w:rFonts w:ascii="Arial" w:cs="Arial" w:eastAsia="Arial" w:hAnsi="Arial"/>
          <w:sz w:val="18"/>
          <w:szCs w:val="18"/>
          <w:color w:val="auto"/>
        </w:rPr>
        <w:t xml:space="preserve">our Quarterly Reports on Form 10-Q for the quarterly periods ended March 31, 2023 and June 30, 2023, filed with the SEC on </w:t>
      </w:r>
      <w:hyperlink r:id="rId15">
        <w:r>
          <w:rPr>
            <w:rFonts w:ascii="Arial" w:cs="Arial" w:eastAsia="Arial" w:hAnsi="Arial"/>
            <w:sz w:val="18"/>
            <w:szCs w:val="18"/>
            <w:u w:val="single" w:color="auto"/>
            <w:color w:val="0000FF"/>
          </w:rPr>
          <w:t>May 12, 2023</w:t>
        </w:r>
        <w:r>
          <w:rPr>
            <w:rFonts w:ascii="Arial" w:cs="Arial" w:eastAsia="Arial" w:hAnsi="Arial"/>
            <w:sz w:val="18"/>
            <w:szCs w:val="18"/>
            <w:color w:val="0000FF"/>
          </w:rPr>
          <w:t xml:space="preserve"> </w:t>
        </w:r>
      </w:hyperlink>
      <w:r>
        <w:rPr>
          <w:rFonts w:ascii="Arial" w:cs="Arial" w:eastAsia="Arial" w:hAnsi="Arial"/>
          <w:sz w:val="18"/>
          <w:szCs w:val="18"/>
          <w:color w:val="000000"/>
        </w:rPr>
        <w:t>and</w:t>
      </w:r>
      <w:r>
        <w:rPr>
          <w:rFonts w:ascii="Arial" w:cs="Arial" w:eastAsia="Arial" w:hAnsi="Arial"/>
          <w:sz w:val="18"/>
          <w:szCs w:val="18"/>
          <w:color w:val="0000FF"/>
        </w:rPr>
        <w:t xml:space="preserve"> </w:t>
      </w:r>
      <w:hyperlink r:id="rId16">
        <w:r>
          <w:rPr>
            <w:rFonts w:ascii="Arial" w:cs="Arial" w:eastAsia="Arial" w:hAnsi="Arial"/>
            <w:sz w:val="18"/>
            <w:szCs w:val="18"/>
            <w:u w:val="single" w:color="auto"/>
            <w:color w:val="0000FF"/>
          </w:rPr>
          <w:t>July 31, 2023</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respectively;</w:t>
      </w:r>
    </w:p>
    <w:p>
      <w:pPr>
        <w:spacing w:after="0" w:line="106" w:lineRule="exact"/>
        <w:rPr>
          <w:rFonts w:ascii="Arial" w:cs="Arial" w:eastAsia="Arial" w:hAnsi="Arial"/>
          <w:sz w:val="18"/>
          <w:szCs w:val="18"/>
          <w:color w:val="0000FF"/>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with the SEC on </w:t>
      </w:r>
      <w:hyperlink r:id="rId17">
        <w:r>
          <w:rPr>
            <w:rFonts w:ascii="Arial" w:cs="Arial" w:eastAsia="Arial" w:hAnsi="Arial"/>
            <w:sz w:val="18"/>
            <w:szCs w:val="18"/>
            <w:u w:val="single" w:color="auto"/>
            <w:color w:val="0000FF"/>
          </w:rPr>
          <w:t>May 4, 2023</w:t>
        </w:r>
      </w:hyperlink>
      <w:r>
        <w:rPr>
          <w:rFonts w:ascii="Arial" w:cs="Arial" w:eastAsia="Arial" w:hAnsi="Arial"/>
          <w:sz w:val="18"/>
          <w:szCs w:val="18"/>
          <w:color w:val="auto"/>
        </w:rPr>
        <w:t>; and</w:t>
      </w:r>
    </w:p>
    <w:p>
      <w:pPr>
        <w:spacing w:after="0" w:line="144" w:lineRule="exact"/>
        <w:rPr>
          <w:rFonts w:ascii="Arial" w:cs="Arial" w:eastAsia="Arial" w:hAnsi="Arial"/>
          <w:sz w:val="18"/>
          <w:szCs w:val="18"/>
          <w:color w:val="auto"/>
        </w:rPr>
      </w:pPr>
    </w:p>
    <w:p>
      <w:pPr>
        <w:ind w:left="980" w:right="60" w:hanging="324"/>
        <w:spacing w:after="0" w:line="275"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our common shares contained in our Registration Statement on Form 10 filed on </w:t>
      </w:r>
      <w:hyperlink r:id="rId18">
        <w:r>
          <w:rPr>
            <w:rFonts w:ascii="Arial" w:cs="Arial" w:eastAsia="Arial" w:hAnsi="Arial"/>
            <w:sz w:val="18"/>
            <w:szCs w:val="18"/>
            <w:u w:val="single" w:color="auto"/>
            <w:color w:val="0000FF"/>
          </w:rPr>
          <w:t>September 20,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any amendments or reports filed with the SEC for the purpose of updating the description.</w:t>
      </w:r>
    </w:p>
    <w:p>
      <w:pPr>
        <w:spacing w:after="0" w:line="106" w:lineRule="exact"/>
        <w:rPr>
          <w:rFonts w:ascii="Arial" w:cs="Arial" w:eastAsia="Arial" w:hAnsi="Arial"/>
          <w:sz w:val="18"/>
          <w:szCs w:val="18"/>
          <w:color w:val="auto"/>
        </w:rPr>
      </w:pPr>
    </w:p>
    <w:p>
      <w:pPr>
        <w:ind w:right="80"/>
        <w:spacing w:after="0" w:line="275" w:lineRule="auto"/>
        <w:rPr>
          <w:sz w:val="20"/>
          <w:szCs w:val="20"/>
          <w:color w:val="auto"/>
        </w:rPr>
      </w:pPr>
      <w:r>
        <w:rPr>
          <w:rFonts w:ascii="Arial" w:cs="Arial" w:eastAsia="Arial" w:hAnsi="Arial"/>
          <w:sz w:val="18"/>
          <w:szCs w:val="18"/>
          <w:color w:val="auto"/>
        </w:rPr>
        <w:t>We are also incorporating by reference any future filings that we make with the SEC under Section 13(a), 13(c), 14 or 15(d) of the Exchange Act after the date of this prospectus supplement.</w:t>
      </w:r>
    </w:p>
    <w:p>
      <w:pPr>
        <w:spacing w:after="0" w:line="106" w:lineRule="exact"/>
        <w:rPr>
          <w:rFonts w:ascii="Arial" w:cs="Arial" w:eastAsia="Arial" w:hAnsi="Arial"/>
          <w:sz w:val="18"/>
          <w:szCs w:val="18"/>
          <w:color w:val="auto"/>
        </w:rPr>
      </w:pPr>
    </w:p>
    <w:p>
      <w:pPr>
        <w:ind w:right="140"/>
        <w:spacing w:after="0" w:line="263" w:lineRule="auto"/>
        <w:rPr>
          <w:sz w:val="20"/>
          <w:szCs w:val="20"/>
          <w:color w:val="auto"/>
        </w:rPr>
      </w:pPr>
      <w:r>
        <w:rPr>
          <w:rFonts w:ascii="Arial" w:cs="Arial" w:eastAsia="Arial" w:hAnsi="Arial"/>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 and the accompanying prospectus.</w:t>
      </w:r>
    </w:p>
    <w:p>
      <w:pPr>
        <w:spacing w:after="0" w:line="103" w:lineRule="exact"/>
        <w:rPr>
          <w:rFonts w:ascii="Arial" w:cs="Arial" w:eastAsia="Arial" w:hAnsi="Arial"/>
          <w:sz w:val="18"/>
          <w:szCs w:val="18"/>
          <w:color w:val="auto"/>
        </w:rPr>
      </w:pPr>
    </w:p>
    <w:p>
      <w:pPr>
        <w:ind w:right="40"/>
        <w:spacing w:after="0" w:line="258"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supplement and the accompanying prospectus, including exhibits to these documents. You should direct any requests for documents either in writing to Biohaven Ltd., Attn: Corporate Secretary, c/o Biohaven Pharmaceuticals, Inc., 215 Church Street, New Haven, Connecticut 06510 or by calling us at (203) 404-0410.</w:t>
      </w:r>
    </w:p>
    <w:p>
      <w:pPr>
        <w:spacing w:after="0" w:line="122" w:lineRule="exact"/>
        <w:rPr>
          <w:rFonts w:ascii="Arial" w:cs="Arial" w:eastAsia="Arial" w:hAnsi="Arial"/>
          <w:sz w:val="18"/>
          <w:szCs w:val="18"/>
          <w:color w:val="auto"/>
        </w:rPr>
      </w:pPr>
    </w:p>
    <w:p>
      <w:pPr>
        <w:spacing w:after="0" w:line="258" w:lineRule="auto"/>
        <w:rPr>
          <w:sz w:val="20"/>
          <w:szCs w:val="20"/>
          <w:color w:val="auto"/>
        </w:rPr>
      </w:pPr>
      <w:r>
        <w:rPr>
          <w:rFonts w:ascii="Arial" w:cs="Arial" w:eastAsia="Arial" w:hAnsi="Arial"/>
          <w:sz w:val="18"/>
          <w:szCs w:val="18"/>
          <w:color w:val="auto"/>
        </w:rPr>
        <w:t>You also may access these filings on our website at www.biohaven.com. We do not incorporate the information on our website into this prospectus supplement or the accompanying prospectus and you should not consider any information on, or that can be accessed through, our website as part of this prospectus supplement or any accompanying prospectus (other than those filings with the SEC that we specifically incorporate by reference into this prospectus supplement and the accompanying prospectus).</w:t>
      </w:r>
    </w:p>
    <w:p>
      <w:pPr>
        <w:spacing w:after="0" w:line="109" w:lineRule="exact"/>
        <w:rPr>
          <w:rFonts w:ascii="Arial" w:cs="Arial" w:eastAsia="Arial" w:hAnsi="Arial"/>
          <w:sz w:val="18"/>
          <w:szCs w:val="18"/>
          <w:color w:val="auto"/>
        </w:rPr>
      </w:pPr>
    </w:p>
    <w:p>
      <w:pPr>
        <w:jc w:val="both"/>
        <w:ind w:right="560"/>
        <w:spacing w:after="0" w:line="263"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20"/>
          </w:cols>
          <w:pgMar w:left="320" w:top="1440"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120015</wp:posOffset>
            </wp:positionV>
            <wp:extent cx="280289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28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Biohaven Ltd.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4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From time to time, we, and certain selling shareholders to be named in prospectus supplement(s) that may be provided in the future, may offer the securities described in this prospectus, either individually or in combination, in one or more classes or series, in amounts, at prices and on terms that will be determined at the time of the offering. Information about any selling shareholder and its resale of common shares, including the relationship between such selling shareholder and us and the amounts, prices and other terms of the applicable offering, will be included in the applicable prospectus supplement.</w:t>
      </w:r>
    </w:p>
    <w:p>
      <w:pPr>
        <w:spacing w:after="0" w:line="10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intend to use the net proceeds from the sale of our securities offered by us for general corporate purposes unless otherwise specified in the applicable prospectus supplement. We will not receive any of the proceeds from the sale of common shares by any selling shareholder. We will pay all of the fees and expenses incurred in connection with the registration of the common shares. We will not bear any underwriting discounts and selling commissions or similar selling expenses incurred in connection with the offering of the common shares by any selling shareholder.</w:t>
      </w:r>
    </w:p>
    <w:p>
      <w:pPr>
        <w:spacing w:after="0" w:line="117"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will provide the specific terms of the securities to be offered in one or more supplements to this prospectus. The specific plan of distribution for any securities to be offered will also be provided in a prospectus supplement. Prospectus supplements may also add, update or change information in this prospectus. You should read this prospectus and the applicable prospectus supplement, together with additional information described under “Where You Can Find Additional Information,” carefully before you invest in our securities. This prospectus may not be used to offer and sell our securities unless accompanied by a prospectus supplement describing the method and terms of the offering of those offered securities.</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offer and sell the securities directly, through agents we select from time to time or to or through underwriters or dealers we select, or through a combination of these methods. If we use any agents, underwriters or dealers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shares are listed on the New York Stock Exchange, or the NYSE, under the symbol “BHVN.” Each prospectus supplement will indicate if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b w:val="1"/>
          <w:bCs w:val="1"/>
          <w:color w:val="auto"/>
        </w:rPr>
        <w:t>Investing in any of our securities involves a high degree of risk. Please read carefully the section entitled “</w:t>
      </w:r>
      <w:r>
        <w:rPr>
          <w:rFonts w:ascii="Arial" w:cs="Arial" w:eastAsia="Arial" w:hAnsi="Arial"/>
          <w:sz w:val="18"/>
          <w:szCs w:val="18"/>
          <w:b w:val="1"/>
          <w:bCs w:val="1"/>
          <w:u w:val="single" w:color="auto"/>
          <w:color w:val="0000FF"/>
        </w:rPr>
        <w:t>Risk Factors</w:t>
      </w:r>
      <w:r>
        <w:rPr>
          <w:rFonts w:ascii="Arial" w:cs="Arial" w:eastAsia="Arial" w:hAnsi="Arial"/>
          <w:sz w:val="18"/>
          <w:szCs w:val="18"/>
          <w:b w:val="1"/>
          <w:bCs w:val="1"/>
          <w:color w:val="auto"/>
        </w:rPr>
        <w:t xml:space="preserve">” on page </w:t>
      </w:r>
      <w:r>
        <w:rPr>
          <w:rFonts w:ascii="Arial" w:cs="Arial" w:eastAsia="Arial" w:hAnsi="Arial"/>
          <w:sz w:val="18"/>
          <w:szCs w:val="18"/>
          <w:b w:val="1"/>
          <w:bCs w:val="1"/>
          <w:u w:val="single" w:color="auto"/>
          <w:color w:val="0000FF"/>
        </w:rPr>
        <w:t>6</w:t>
      </w:r>
      <w:r>
        <w:rPr>
          <w:rFonts w:ascii="Arial" w:cs="Arial" w:eastAsia="Arial" w:hAnsi="Arial"/>
          <w:sz w:val="18"/>
          <w:szCs w:val="18"/>
          <w:b w:val="1"/>
          <w:bCs w:val="1"/>
          <w:color w:val="auto"/>
        </w:rPr>
        <w:t xml:space="preserve"> of this prospectus, the “Risk Factors” section contained in the applicable prospectus supplement and the information included and incorporated by reference in this prospectus and the applicable prospectus supplement.</w:t>
      </w:r>
    </w:p>
    <w:p>
      <w:pPr>
        <w:spacing w:after="0" w:line="122" w:lineRule="exact"/>
        <w:rPr>
          <w:sz w:val="20"/>
          <w:szCs w:val="20"/>
          <w:color w:val="auto"/>
        </w:rPr>
      </w:pPr>
    </w:p>
    <w:p>
      <w:pPr>
        <w:ind w:right="8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No dealer, salesperson or other person is authorized to give any information or to represent anything not contained in this prospectus or any accompanying prospectus supplement. This prospectus and any accompanying prospectus supplement together are an offer to sell only the securities offered hereby and thereby, but only under circumstances and in jurisdictions where it is lawful to do so. The information contained in this prospectus and any accompanying prospectus supplement is current only as of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6" w:name="page37"/>
    <w:bookmarkEnd w:id="36"/>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Page</w:t>
            </w:r>
          </w:p>
        </w:tc>
      </w:tr>
      <w:tr>
        <w:trPr>
          <w:trHeight w:val="27"/>
        </w:trPr>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2240" w:type="dxa"/>
            <w:vAlign w:val="bottom"/>
            <w:gridSpan w:val="9"/>
          </w:tcPr>
          <w:p>
            <w:pPr>
              <w:spacing w:after="0" w:line="196" w:lineRule="exact"/>
              <w:rPr>
                <w:sz w:val="20"/>
                <w:szCs w:val="20"/>
                <w:color w:val="auto"/>
              </w:rPr>
            </w:pPr>
            <w:r>
              <w:rPr>
                <w:rFonts w:ascii="Arial" w:cs="Arial" w:eastAsia="Arial" w:hAnsi="Arial"/>
                <w:sz w:val="18"/>
                <w:szCs w:val="18"/>
                <w:color w:val="0000FF"/>
                <w:w w:val="92"/>
              </w:rPr>
              <w:t>ABOUT THIS PROSPECTUS</w:t>
            </w:r>
          </w:p>
        </w:tc>
        <w:tc>
          <w:tcPr>
            <w:tcW w:w="8120" w:type="dxa"/>
            <w:vAlign w:val="bottom"/>
            <w:gridSpan w:val="9"/>
          </w:tcPr>
          <w:p>
            <w:pPr>
              <w:spacing w:after="0"/>
              <w:rPr>
                <w:sz w:val="17"/>
                <w:szCs w:val="17"/>
                <w:color w:val="auto"/>
              </w:rPr>
            </w:pPr>
          </w:p>
        </w:tc>
        <w:tc>
          <w:tcPr>
            <w:tcW w:w="8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0000FF"/>
              </w:rPr>
              <w:t>1</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340" w:type="dxa"/>
            <w:vAlign w:val="bottom"/>
            <w:gridSpan w:val="17"/>
          </w:tcPr>
          <w:p>
            <w:pPr>
              <w:spacing w:after="0"/>
              <w:rPr>
                <w:sz w:val="20"/>
                <w:szCs w:val="20"/>
                <w:color w:val="auto"/>
              </w:rPr>
            </w:pPr>
            <w:r>
              <w:rPr>
                <w:rFonts w:ascii="Arial" w:cs="Arial" w:eastAsia="Arial" w:hAnsi="Arial"/>
                <w:sz w:val="18"/>
                <w:szCs w:val="18"/>
                <w:color w:val="0000FF"/>
                <w:w w:val="95"/>
              </w:rPr>
              <w:t>SPECIAL NOTE REGARDING FORWARD-LOOKING STATEMENTS</w:t>
            </w:r>
          </w:p>
        </w:tc>
        <w:tc>
          <w:tcPr>
            <w:tcW w:w="5020" w:type="dxa"/>
            <w:vAlign w:val="bottom"/>
          </w:tcPr>
          <w:p>
            <w:pPr>
              <w:spacing w:after="0"/>
              <w:rPr>
                <w:sz w:val="24"/>
                <w:szCs w:val="2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20" w:type="dxa"/>
            <w:vAlign w:val="bottom"/>
            <w:gridSpan w:val="15"/>
          </w:tcPr>
          <w:p>
            <w:pPr>
              <w:spacing w:after="0"/>
              <w:rPr>
                <w:sz w:val="20"/>
                <w:szCs w:val="20"/>
                <w:color w:val="auto"/>
              </w:rPr>
            </w:pPr>
            <w:r>
              <w:rPr>
                <w:rFonts w:ascii="Arial" w:cs="Arial" w:eastAsia="Arial" w:hAnsi="Arial"/>
                <w:sz w:val="18"/>
                <w:szCs w:val="18"/>
                <w:color w:val="0000FF"/>
                <w:w w:val="98"/>
              </w:rPr>
              <w:t>WHERE YOU CAN FIND ADDITIONAL INFORMATION</w:t>
            </w:r>
          </w:p>
        </w:tc>
        <w:tc>
          <w:tcPr>
            <w:tcW w:w="920" w:type="dxa"/>
            <w:vAlign w:val="bottom"/>
            <w:gridSpan w:val="2"/>
          </w:tcPr>
          <w:p>
            <w:pPr>
              <w:spacing w:after="0"/>
              <w:rPr>
                <w:sz w:val="24"/>
                <w:szCs w:val="24"/>
                <w:color w:val="auto"/>
              </w:rPr>
            </w:pPr>
          </w:p>
        </w:tc>
        <w:tc>
          <w:tcPr>
            <w:tcW w:w="5020" w:type="dxa"/>
            <w:vAlign w:val="bottom"/>
          </w:tcPr>
          <w:p>
            <w:pPr>
              <w:spacing w:after="0"/>
              <w:rPr>
                <w:sz w:val="24"/>
                <w:szCs w:val="2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360" w:type="dxa"/>
            <w:vAlign w:val="bottom"/>
            <w:gridSpan w:val="18"/>
          </w:tcPr>
          <w:p>
            <w:pPr>
              <w:spacing w:after="0"/>
              <w:rPr>
                <w:sz w:val="20"/>
                <w:szCs w:val="20"/>
                <w:color w:val="auto"/>
              </w:rPr>
            </w:pPr>
            <w:r>
              <w:rPr>
                <w:rFonts w:ascii="Arial" w:cs="Arial" w:eastAsia="Arial" w:hAnsi="Arial"/>
                <w:sz w:val="18"/>
                <w:szCs w:val="18"/>
                <w:color w:val="0000FF"/>
              </w:rPr>
              <w:t>INCORPORATION OF CERTAIN INFORMATION BY REFERENCE</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color w:val="0000FF"/>
                <w:w w:val="93"/>
              </w:rPr>
              <w:t>RISK FACTORS</w:t>
            </w:r>
          </w:p>
        </w:tc>
        <w:tc>
          <w:tcPr>
            <w:tcW w:w="3920" w:type="dxa"/>
            <w:vAlign w:val="bottom"/>
            <w:gridSpan w:val="14"/>
          </w:tcPr>
          <w:p>
            <w:pPr>
              <w:spacing w:after="0"/>
              <w:rPr>
                <w:sz w:val="24"/>
                <w:szCs w:val="24"/>
                <w:color w:val="auto"/>
              </w:rPr>
            </w:pPr>
          </w:p>
        </w:tc>
        <w:tc>
          <w:tcPr>
            <w:tcW w:w="5180" w:type="dxa"/>
            <w:vAlign w:val="bottom"/>
            <w:gridSpan w:val="2"/>
          </w:tcPr>
          <w:p>
            <w:pPr>
              <w:spacing w:after="0"/>
              <w:rPr>
                <w:sz w:val="24"/>
                <w:szCs w:val="2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360" w:type="dxa"/>
            <w:vAlign w:val="bottom"/>
            <w:gridSpan w:val="18"/>
          </w:tcPr>
          <w:p>
            <w:pPr>
              <w:spacing w:after="0"/>
              <w:rPr>
                <w:sz w:val="20"/>
                <w:szCs w:val="20"/>
                <w:color w:val="auto"/>
              </w:rPr>
            </w:pPr>
            <w:r>
              <w:rPr>
                <w:rFonts w:ascii="Arial" w:cs="Arial" w:eastAsia="Arial" w:hAnsi="Arial"/>
                <w:sz w:val="18"/>
                <w:szCs w:val="18"/>
                <w:color w:val="0000FF"/>
              </w:rPr>
              <w:t>THE COMPANY</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360" w:type="dxa"/>
            <w:vAlign w:val="bottom"/>
            <w:gridSpan w:val="18"/>
          </w:tcPr>
          <w:p>
            <w:pPr>
              <w:spacing w:after="0"/>
              <w:rPr>
                <w:sz w:val="20"/>
                <w:szCs w:val="20"/>
                <w:color w:val="auto"/>
              </w:rPr>
            </w:pPr>
            <w:r>
              <w:rPr>
                <w:rFonts w:ascii="Arial" w:cs="Arial" w:eastAsia="Arial" w:hAnsi="Arial"/>
                <w:sz w:val="18"/>
                <w:szCs w:val="18"/>
                <w:color w:val="0000FF"/>
              </w:rPr>
              <w:t>USE OF PROCEEDS</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880" w:type="dxa"/>
            <w:vAlign w:val="bottom"/>
            <w:gridSpan w:val="11"/>
          </w:tcPr>
          <w:p>
            <w:pPr>
              <w:spacing w:after="0"/>
              <w:rPr>
                <w:sz w:val="20"/>
                <w:szCs w:val="20"/>
                <w:color w:val="auto"/>
              </w:rPr>
            </w:pPr>
            <w:r>
              <w:rPr>
                <w:rFonts w:ascii="Arial" w:cs="Arial" w:eastAsia="Arial" w:hAnsi="Arial"/>
                <w:sz w:val="18"/>
                <w:szCs w:val="18"/>
                <w:color w:val="0000FF"/>
                <w:w w:val="95"/>
              </w:rPr>
              <w:t>DESCRIPTION OF SHARE CAPITAL</w:t>
            </w:r>
          </w:p>
        </w:tc>
        <w:tc>
          <w:tcPr>
            <w:tcW w:w="7480" w:type="dxa"/>
            <w:vAlign w:val="bottom"/>
            <w:gridSpan w:val="7"/>
          </w:tcPr>
          <w:p>
            <w:pPr>
              <w:spacing w:after="0"/>
              <w:rPr>
                <w:sz w:val="24"/>
                <w:szCs w:val="2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r>
      <w:tr>
        <w:trPr>
          <w:trHeight w:val="20"/>
        </w:trPr>
        <w:tc>
          <w:tcPr>
            <w:tcW w:w="78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360" w:type="dxa"/>
            <w:vAlign w:val="bottom"/>
            <w:gridSpan w:val="18"/>
          </w:tcPr>
          <w:p>
            <w:pPr>
              <w:spacing w:after="0"/>
              <w:rPr>
                <w:sz w:val="20"/>
                <w:szCs w:val="20"/>
                <w:color w:val="auto"/>
              </w:rPr>
            </w:pPr>
            <w:r>
              <w:rPr>
                <w:rFonts w:ascii="Arial" w:cs="Arial" w:eastAsia="Arial" w:hAnsi="Arial"/>
                <w:sz w:val="18"/>
                <w:szCs w:val="18"/>
                <w:color w:val="0000FF"/>
              </w:rPr>
              <w:t>DESCRIPTION OF DEPOSITARY SHARES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19</w:t>
            </w:r>
          </w:p>
        </w:tc>
        <w:tc>
          <w:tcPr>
            <w:tcW w:w="20" w:type="dxa"/>
            <w:vAlign w:val="bottom"/>
          </w:tcPr>
          <w:p>
            <w:pPr>
              <w:spacing w:after="0"/>
              <w:rPr>
                <w:sz w:val="24"/>
                <w:szCs w:val="24"/>
                <w:color w:val="auto"/>
              </w:rPr>
            </w:pPr>
          </w:p>
        </w:tc>
      </w:tr>
      <w:tr>
        <w:trPr>
          <w:trHeight w:val="412"/>
        </w:trPr>
        <w:tc>
          <w:tcPr>
            <w:tcW w:w="33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DESCRIPTION OF DEBT SECURITIES</w:t>
            </w:r>
          </w:p>
        </w:tc>
        <w:tc>
          <w:tcPr>
            <w:tcW w:w="704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c>
          <w:tcPr>
            <w:tcW w:w="20" w:type="dxa"/>
            <w:vAlign w:val="bottom"/>
          </w:tcPr>
          <w:p>
            <w:pPr>
              <w:spacing w:after="0"/>
              <w:rPr>
                <w:sz w:val="24"/>
                <w:szCs w:val="24"/>
                <w:color w:val="auto"/>
              </w:rPr>
            </w:pPr>
          </w:p>
        </w:tc>
      </w:tr>
      <w:tr>
        <w:trPr>
          <w:trHeight w:val="412"/>
        </w:trPr>
        <w:tc>
          <w:tcPr>
            <w:tcW w:w="30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DESCRIPTION OF WARRANTS</w:t>
            </w:r>
          </w:p>
        </w:tc>
        <w:tc>
          <w:tcPr>
            <w:tcW w:w="73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24"/>
                <w:szCs w:val="24"/>
                <w:color w:val="auto"/>
              </w:rPr>
            </w:pPr>
          </w:p>
        </w:tc>
      </w:tr>
      <w:tr>
        <w:trPr>
          <w:trHeight w:val="412"/>
        </w:trPr>
        <w:tc>
          <w:tcPr>
            <w:tcW w:w="24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DESCRIPTION OF RIGHTS</w:t>
            </w:r>
          </w:p>
        </w:tc>
        <w:tc>
          <w:tcPr>
            <w:tcW w:w="788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5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4"/>
              </w:rPr>
              <w:t>DESCRIPTION OF PURCHASE CONTRACTS</w:t>
            </w:r>
          </w:p>
        </w:tc>
        <w:tc>
          <w:tcPr>
            <w:tcW w:w="680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c>
          <w:tcPr>
            <w:tcW w:w="20" w:type="dxa"/>
            <w:vAlign w:val="bottom"/>
          </w:tcPr>
          <w:p>
            <w:pPr>
              <w:spacing w:after="0"/>
              <w:rPr>
                <w:sz w:val="24"/>
                <w:szCs w:val="24"/>
                <w:color w:val="auto"/>
              </w:rPr>
            </w:pPr>
          </w:p>
        </w:tc>
      </w:tr>
      <w:tr>
        <w:trPr>
          <w:trHeight w:val="412"/>
        </w:trPr>
        <w:tc>
          <w:tcPr>
            <w:tcW w:w="10360" w:type="dxa"/>
            <w:vAlign w:val="bottom"/>
            <w:gridSpan w:val="18"/>
          </w:tcPr>
          <w:p>
            <w:pPr>
              <w:spacing w:after="0"/>
              <w:rPr>
                <w:sz w:val="20"/>
                <w:szCs w:val="20"/>
                <w:color w:val="auto"/>
              </w:rPr>
            </w:pPr>
            <w:r>
              <w:rPr>
                <w:rFonts w:ascii="Arial" w:cs="Arial" w:eastAsia="Arial" w:hAnsi="Arial"/>
                <w:sz w:val="18"/>
                <w:szCs w:val="18"/>
                <w:color w:val="0000FF"/>
              </w:rPr>
              <w:t>DESCRIPTION OF UNITS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2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2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SELLING SHAREHOLDERS</w:t>
            </w:r>
          </w:p>
        </w:tc>
        <w:tc>
          <w:tcPr>
            <w:tcW w:w="812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4"/>
                <w:szCs w:val="24"/>
                <w:color w:val="auto"/>
              </w:rPr>
            </w:pPr>
          </w:p>
        </w:tc>
      </w:tr>
      <w:tr>
        <w:trPr>
          <w:trHeight w:val="412"/>
        </w:trPr>
        <w:tc>
          <w:tcPr>
            <w:tcW w:w="2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PLAN OF DISTRIBUTION</w:t>
            </w:r>
          </w:p>
        </w:tc>
        <w:tc>
          <w:tcPr>
            <w:tcW w:w="830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4"/>
                <w:szCs w:val="24"/>
                <w:color w:val="auto"/>
              </w:rPr>
            </w:pPr>
          </w:p>
        </w:tc>
      </w:tr>
      <w:tr>
        <w:trPr>
          <w:trHeight w:val="412"/>
        </w:trPr>
        <w:tc>
          <w:tcPr>
            <w:tcW w:w="10360" w:type="dxa"/>
            <w:vAlign w:val="bottom"/>
            <w:gridSpan w:val="18"/>
          </w:tcPr>
          <w:p>
            <w:pPr>
              <w:spacing w:after="0"/>
              <w:rPr>
                <w:sz w:val="20"/>
                <w:szCs w:val="20"/>
                <w:color w:val="auto"/>
              </w:rPr>
            </w:pPr>
            <w:r>
              <w:rPr>
                <w:rFonts w:ascii="Arial" w:cs="Arial" w:eastAsia="Arial" w:hAnsi="Arial"/>
                <w:sz w:val="18"/>
                <w:szCs w:val="18"/>
                <w:color w:val="0000FF"/>
              </w:rPr>
              <w:t>VALIDITY OF SECURITIES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24"/>
                <w:szCs w:val="24"/>
                <w:color w:val="auto"/>
              </w:rPr>
            </w:pPr>
          </w:p>
        </w:tc>
      </w:tr>
      <w:tr>
        <w:trPr>
          <w:trHeight w:val="412"/>
        </w:trPr>
        <w:tc>
          <w:tcPr>
            <w:tcW w:w="7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EXPERTS</w:t>
            </w:r>
          </w:p>
        </w:tc>
        <w:tc>
          <w:tcPr>
            <w:tcW w:w="1400" w:type="dxa"/>
            <w:vAlign w:val="bottom"/>
            <w:tcBorders>
              <w:top w:val="single" w:sz="8" w:color="0000FF"/>
            </w:tcBorders>
            <w:gridSpan w:val="7"/>
          </w:tcPr>
          <w:p>
            <w:pPr>
              <w:spacing w:after="0"/>
              <w:rPr>
                <w:sz w:val="24"/>
                <w:szCs w:val="24"/>
                <w:color w:val="auto"/>
              </w:rPr>
            </w:pPr>
          </w:p>
        </w:tc>
        <w:tc>
          <w:tcPr>
            <w:tcW w:w="818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sectPr>
      </w:pPr>
    </w:p>
    <w:bookmarkStart w:id="37" w:name="page38"/>
    <w:bookmarkEnd w:id="3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prospectus is a part of a registration statement that we filed with the Securities and Exchange Commission (the “SEC”) using a “shelf” registration process.</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permitted under the rules of the SEC, this prospectus incorporates important business information about Biohaven Ltd. that is contained in documents that we file with the SEC, but that is not included in or delivered with this prospectus. You may obtain copies of these documents, without charge, from the web site maintained by the SEC at www.sec.gov, as well as other sources. See “Where You Can Find Additional Information.” Before purchasing any securities, you should carefully read both this prospectus and any prospectus supplement, together with the additional information described under the headings “Where You Can Find Additional Information” and “Incorporation of Certain Information By Reference.”</w:t>
      </w:r>
    </w:p>
    <w:p>
      <w:pPr>
        <w:spacing w:after="0" w:line="1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Neither we, any selling shareholders nor any underwriters, agents or dealers have authorized any other person to provide you with information other than the information contained or incorporated by reference in this prospectus, any prospectus supplement and any free writing prospectus prepared by or on behalf of us or to which we have referred you. Neither we, any selling shareholders nor any underwriters take any responsibility for, or can provide assurance as to the reliability of, any other information that others may give you. You should assume that the information contained in this prospectus, any prospectus supplement or any free writing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We are not making offers to sell the securities described in this prospectus in any jurisdiction in which an offer or solicitation is not authorized or in which the person making such offer or solicitation is not qualified to do so or to anyone to whom it is unlawful to make an offer or solicitation.</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Unless otherwise indicated or unless the context requires otherwise, all references in this prospectus to “Biohaven”, “the Company”, “we”, “us”, “our” or similar references mean Biohaven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that involve risks and uncertainties. We make such forward-looking statements pursuant to the safe harbor provisions of the U.S. Private Securities Litigation Reform Act of 1995 and other securities laws. All statements other than statements of historical facts contained in this prospectus and the documents incorporated by reference herein, including statements regarding our future results of operations and financial position, strategy and plans, and our expectations for future operations, are forward-looking statements. In some cases, you can identify forward-looking statements by terminology such as “believe,” “may,” “will,” “estimate,” “continue,” “anticipate,” “design,” “intend,” “expect,” “could,” “plan,” “potential,” “predict,” “seek,” “should,” “would” or the negative of these terms or other comparable terminology. Forward-looking statements are not guarantees of performance, are based on certain assumptions, discuss future expectations, describe plans and strategies or state other forward-looking information. These forward-looking statements include, but are not limited to, statements about:</w:t>
      </w:r>
    </w:p>
    <w:p>
      <w:pPr>
        <w:spacing w:after="0" w:line="111" w:lineRule="exact"/>
        <w:rPr>
          <w:sz w:val="20"/>
          <w:szCs w:val="20"/>
          <w:color w:val="auto"/>
        </w:rPr>
      </w:pPr>
    </w:p>
    <w:p>
      <w:pPr>
        <w:ind w:left="660" w:right="2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ongoing and planned clinical trials, including discovery and proof of concept trials, the status of our ongoing clinical trials, commencement dates for new clinical trials, and the timing of clinical trial results;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anticipated future milestones, contingent and royalty payments and lease payments (and, in each case, their expected impact on liquidity);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estimates regarding future revenues, expenses and needs for additional financing.</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reflected in such forward-looking statements and that should be considered in evaluating our outlook include, but are not limited to, the following:</w:t>
      </w:r>
    </w:p>
    <w:p>
      <w:pPr>
        <w:spacing w:after="0" w:line="116" w:lineRule="exact"/>
        <w:rPr>
          <w:sz w:val="20"/>
          <w:szCs w:val="20"/>
          <w:color w:val="auto"/>
        </w:rPr>
      </w:pPr>
    </w:p>
    <w:p>
      <w:pPr>
        <w:ind w:left="660" w:right="4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from our separation (the “Separation”) from Biohaven Pharmaceutical Holding Company Ltd. making it more difficult to maintain business and operational relationships;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unknown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 of litigation and/or regulatory actions related to the Separation or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business combinations or disposals;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diverting management’s attention from the Company’s ongoing business operation;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 or product candidates, and our estimates regarding the potential market opportunity for our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competitive position, including our competitors and competing products (including biosimilars);</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economic conditions, including increases in interest rates and inflation, on the costs of raw materials, wages, manufacturing and clinical trials and on borrowing costs;</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anticipated amounts of future tax payments and benefits (including the potential recognition of unrecognized tax benefits), as well as timing of conclusion of tax audits;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identified elsewhere in this prospectus or in our filings with the SEC that are incorporated by reference herein, including those factors described in our Annual Report on Form 10-K for the year ended December 31, 2022 and our Quarterly Report on Form 10-Q for the quarter ended June 30, 2023.</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forward-looking statements in this prospectus or the documents incorporated by reference herein reflect our views as of the date of this prospectus or the incorporated document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expectations include, among other things, those described under “ Risk Factors” and elsewhere in this prospectus. Given these uncertainties, you should not place undue reliance on any forward-looking statements. Except as required by law, we assume no obligation to update or revise any forward-looking statements for any reason, even if new information becomes available in the future.</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prospectus and the documents incorporated by reference herein contain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prospectus.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analyses that may, in the future, not prove to have been accurate.</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the information reporting requirements of the Securities Exchange Act of 1934 (the “Exchange Act”), and we have filed and will file reports, proxy statements and other information with the SEC. These reports, proxy statements and other information are available on the SEC’s website at http://www.sec.gov. We also maintain a website at www.biohaven.com,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and does not contain all of the information in the registration statement. The full registration statement may be obtained from the SEC or us, as provided in “Incorporation of Certain Information by Reference”. Documents establishing the terms of the offered securities are or may be filed as exhibits to the registration statement. Statements in this prospectus and any accompanying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or our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 (File No. 001-41477):</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w:t>
      </w:r>
      <w:hyperlink r:id="rId14">
        <w:r>
          <w:rPr>
            <w:rFonts w:ascii="Arial" w:cs="Arial" w:eastAsia="Arial" w:hAnsi="Arial"/>
            <w:sz w:val="18"/>
            <w:szCs w:val="18"/>
            <w:u w:val="single" w:color="auto"/>
            <w:color w:val="0000FF"/>
          </w:rPr>
          <w:t>December 31, 2022</w:t>
        </w:r>
      </w:hyperlink>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w:t>
      </w:r>
      <w:hyperlink r:id="rId15">
        <w:r>
          <w:rPr>
            <w:rFonts w:ascii="Arial" w:cs="Arial" w:eastAsia="Arial" w:hAnsi="Arial"/>
            <w:sz w:val="18"/>
            <w:szCs w:val="18"/>
            <w:u w:val="single" w:color="auto"/>
            <w:color w:val="0000FF"/>
          </w:rPr>
          <w:t>March 31,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FF"/>
          </w:rPr>
          <w:t>June 30, 2023</w:t>
        </w:r>
      </w:hyperlink>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with the SEC on </w:t>
      </w:r>
      <w:hyperlink r:id="rId17">
        <w:r>
          <w:rPr>
            <w:rFonts w:ascii="Arial" w:cs="Arial" w:eastAsia="Arial" w:hAnsi="Arial"/>
            <w:sz w:val="18"/>
            <w:szCs w:val="18"/>
            <w:u w:val="single" w:color="auto"/>
            <w:color w:val="0000FF"/>
          </w:rPr>
          <w:t>May 4, 2023</w:t>
        </w:r>
      </w:hyperlink>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description of our common shares contained in our Registration Statement on Form 10 filed on </w:t>
      </w:r>
      <w:hyperlink r:id="rId18">
        <w:r>
          <w:rPr>
            <w:rFonts w:ascii="Arial" w:cs="Arial" w:eastAsia="Arial" w:hAnsi="Arial"/>
            <w:sz w:val="18"/>
            <w:szCs w:val="18"/>
            <w:u w:val="single" w:color="auto"/>
            <w:color w:val="0000FF"/>
          </w:rPr>
          <w:t>September 20, 2022</w:t>
        </w:r>
      </w:hyperlink>
      <w:r>
        <w:rPr>
          <w:rFonts w:ascii="Arial" w:cs="Arial" w:eastAsia="Arial" w:hAnsi="Arial"/>
          <w:sz w:val="18"/>
          <w:szCs w:val="18"/>
          <w:color w:val="auto"/>
        </w:rPr>
        <w:t>, and any amendments or reports filed with the SEC for the purpose of updating the description.</w:t>
      </w:r>
    </w:p>
    <w:p>
      <w:pPr>
        <w:spacing w:after="0" w:line="116" w:lineRule="exact"/>
        <w:rPr>
          <w:rFonts w:ascii="Arial" w:cs="Arial" w:eastAsia="Arial" w:hAnsi="Arial"/>
          <w:sz w:val="18"/>
          <w:szCs w:val="18"/>
          <w:color w:val="auto"/>
        </w:rPr>
      </w:pPr>
    </w:p>
    <w:p>
      <w:pPr>
        <w:ind w:right="120"/>
        <w:spacing w:after="0" w:line="277" w:lineRule="auto"/>
        <w:rPr>
          <w:sz w:val="20"/>
          <w:szCs w:val="20"/>
          <w:color w:val="auto"/>
        </w:rPr>
      </w:pPr>
      <w:r>
        <w:rPr>
          <w:rFonts w:ascii="Arial" w:cs="Arial" w:eastAsia="Arial" w:hAnsi="Arial"/>
          <w:sz w:val="18"/>
          <w:szCs w:val="18"/>
          <w:color w:val="auto"/>
        </w:rPr>
        <w:t>We are also incorporating by reference any future filings that we make with the SEC under Section 13(a), 13(c), 14 or 15(d) of the Exchange Act after the date of this prospectus.</w:t>
      </w:r>
    </w:p>
    <w:p>
      <w:pPr>
        <w:spacing w:after="0" w:line="116" w:lineRule="exact"/>
        <w:rPr>
          <w:rFonts w:ascii="Arial" w:cs="Arial" w:eastAsia="Arial" w:hAnsi="Arial"/>
          <w:sz w:val="18"/>
          <w:szCs w:val="18"/>
          <w:color w:val="auto"/>
        </w:rPr>
      </w:pPr>
    </w:p>
    <w:p>
      <w:pPr>
        <w:ind w:right="200"/>
        <w:spacing w:after="0" w:line="308" w:lineRule="auto"/>
        <w:rPr>
          <w:sz w:val="20"/>
          <w:szCs w:val="20"/>
          <w:color w:val="auto"/>
        </w:rPr>
      </w:pPr>
      <w:r>
        <w:rPr>
          <w:rFonts w:ascii="Arial" w:cs="Arial" w:eastAsia="Arial" w:hAnsi="Arial"/>
          <w:sz w:val="17"/>
          <w:szCs w:val="17"/>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92" w:lineRule="exact"/>
        <w:rPr>
          <w:rFonts w:ascii="Arial" w:cs="Arial" w:eastAsia="Arial" w:hAnsi="Arial"/>
          <w:sz w:val="18"/>
          <w:szCs w:val="18"/>
          <w:color w:val="auto"/>
        </w:rPr>
      </w:pPr>
    </w:p>
    <w:p>
      <w:pPr>
        <w:ind w:right="380"/>
        <w:spacing w:after="0" w:line="31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 this prospectus, including exhibits to these documents. You should direct any requests for documents either in writing to Biohaven Ltd., Attn: Corporate Secretary, c/o Biohaven Pharmaceuticals, Inc., 215 Church Street, New Haven, Connecticut 06510 or by calling us at (203) 404-0410.</w:t>
      </w:r>
    </w:p>
    <w:p>
      <w:pPr>
        <w:spacing w:after="0" w:line="95" w:lineRule="exact"/>
        <w:rPr>
          <w:rFonts w:ascii="Arial" w:cs="Arial" w:eastAsia="Arial" w:hAnsi="Arial"/>
          <w:sz w:val="18"/>
          <w:szCs w:val="18"/>
          <w:color w:val="auto"/>
        </w:rPr>
      </w:pPr>
    </w:p>
    <w:p>
      <w:pPr>
        <w:spacing w:after="0" w:line="263" w:lineRule="auto"/>
        <w:rPr>
          <w:sz w:val="20"/>
          <w:szCs w:val="20"/>
          <w:color w:val="auto"/>
        </w:rPr>
      </w:pPr>
      <w:r>
        <w:rPr>
          <w:rFonts w:ascii="Arial" w:cs="Arial" w:eastAsia="Arial" w:hAnsi="Arial"/>
          <w:sz w:val="18"/>
          <w:szCs w:val="18"/>
          <w:color w:val="auto"/>
        </w:rPr>
        <w:t>You also may access these filings on our website at www.biohaven.com.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w:t>
      </w:r>
    </w:p>
    <w:p>
      <w:pPr>
        <w:spacing w:after="0" w:line="130" w:lineRule="exact"/>
        <w:rPr>
          <w:rFonts w:ascii="Arial" w:cs="Arial" w:eastAsia="Arial" w:hAnsi="Arial"/>
          <w:sz w:val="18"/>
          <w:szCs w:val="18"/>
          <w:color w:val="auto"/>
        </w:rPr>
      </w:pPr>
    </w:p>
    <w:p>
      <w:pPr>
        <w:ind w:right="60"/>
        <w:spacing w:after="0" w:line="34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40" w:right="379" w:bottom="1440" w:gutter="0" w:footer="0" w:header="0"/>
        </w:sectPr>
      </w:pPr>
    </w:p>
    <w:bookmarkStart w:id="42" w:name="page43"/>
    <w:bookmarkEnd w:id="4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 investment in our securities offered by this prospectus involves risks. You should carefully consider the risk factors incorporated by reference to our Annual Report on Form 10-K for the year ended December 31, 2022 and our Quarterly Report on Form 10-Q for the quarter ended June 30, 2023 and the other information contained in this prospectus, as updated by our subsequent filings under the Exchange Act, before purchasing any of our securities. See “Where You Can Find Additional Information” for information about how to obtain a copy of these documents. You should also carefully consider the risks and other information that may be contained in, or incorporated by reference into, any prospectus supplement relating to a specific offering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a global clinical-stage biopharmaceutical company focused on the discovery, development and commercialization of life-changing therapies to treat a broad range of rare and common diseases. Our experienced management team brings with it a proven track record of delivering new drug approvals for products for diseases such as migraine, depression, bipolar disorder and schizophrenia. We are advancing a pipeline of therapies for diseases, many of which have limited or no treatment options, leveraging our proven drug development capabilities and proprietary platforms including Kv7 ion channel modulation for epilepsy and neuronal hyperexcitability, glutamate modulation for Obsessive-Compulsive Disorder and Spinocerebellar Ataxia, myostatin inhibition for neuromuscular diseases and metabolic disorders, and brain-penetrant Tyrosine Kinase 2/Janus Kinase 1 inhibition for neuroinflammatory disorders. Our portfolio of early- and late-stage product candidates also includes discovery research programs focused on TRPM3 channel activation for neuropathic pain, CD-38 antibody recruiting, bispecific molecules for multiple myeloma, antibody drug conjugates, and targeted extracellular protein degradation platform technology with potential application in neurological disorders, cancer, and autoimmune diseases.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advancing our broad and diverse pipeline across early and late stage development, including three Phase 3 clinical programs. We have built a highly experienced team of senior leaders and neuroscience drug developers who combine a nimble, results-driven biotech mindset with capabilities in drug discovery and development. In addition, we have several preclinical assets in our early discovery program, targeting indications in neuroscience and immunology.</w:t>
      </w:r>
    </w:p>
    <w:p>
      <w:pPr>
        <w:spacing w:after="0" w:line="133"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We are a business company limited by shares incorporated under the laws of the British Virgin Islands Our registered office is located at Kingston Chambers, P.O. Box 173, Road Town, Tortola, British Virgin Islands and our telephone number is +1 (284) 852-3000. Our U.S. subsidiary’s office is located at 215 Church Street, New Haven, Connecticut 06510 and telephone number is (203) 404-0410. Our website address is www.biohaven.com.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to use the net proceeds from the sale of our securities offered by us for general corporate purposes unless otherwise specified in the applicable prospectus supplement.</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will not receive any of the proceeds from the sale of common shares by any selling shareholder. We will pay all of the fees and expenses incurred in connection with the registration of the common shares. We will not bear any underwriting discounts and selling commissions or similar selling expenses incurred in connection with the offering of the common shares by any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1440" w:right="579" w:bottom="1440" w:gutter="0" w:footer="0" w:header="0"/>
        </w:sectPr>
      </w:pPr>
    </w:p>
    <w:bookmarkStart w:id="45" w:name="page46"/>
    <w:bookmarkEnd w:id="4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The following descriptions are summaries of the material terms of our Amended Memorandum and Articles of Association. Reference is made to the more detailed provisions of, and the descriptions are qualified in their entirety by reference to, the Amended Memorandum and Articles of Association. Please note that this summary is not intended to be exhaustive. For further information, please refer to the full version of our Amended Memorandum and Articles of Association which is included as an exhibit to the registration statement of which this prospectus is part.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are a British Virgin Islands (“BVI”) business company limited by shares incorporated in the BVI on May 2, 2022, and our affairs are governed by the provisions of our Amended Memorandum and Articles of Association and by the BVI Business Companies Act (As Revised) (the “BVI Act”).</w:t>
      </w:r>
    </w:p>
    <w:p>
      <w:pPr>
        <w:spacing w:after="0" w:line="9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provided in our Amended Memorandum and Articles of Association, subject to the BVI Act, we have full capacity to carry on or undertake any business or activity, do any act or enter into any transaction, and, for such purposes, full rights, powers and privileges. Our registered office is c/o Maples Corporate Services (BVI) Limited, Kingston Chambers, P.O. Box 173, Road Town, Tortola, British Virgin Islands.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Amended Memorandum and Articles of Association authorize us to issue up to 200,000,000 common shares, no par value, and up to 10,000,000 preferred shares, no par value (the “Preferred Shares”). Our Board may establish the rights and preferences of the Preferred Shares from time to time. As of September 26, 2023, we had 68,322,178 common shares issued and outstanding, held of record by 43 shareholders, and no Preferred Shares issued.</w:t>
      </w:r>
    </w:p>
    <w:p>
      <w:pPr>
        <w:spacing w:after="0" w:line="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are summaries of material provisions of our Amended Memorandum and Articles of Association and the BVI Act insofar as they relate to the material terms of our common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maximum number of shares we are authorized to issue are 210,000,000 divided into 200,000,000 common shares, with no par value each and</w:t>
      </w:r>
      <w:r>
        <w:rPr>
          <w:rFonts w:ascii="Arial" w:cs="Arial" w:eastAsia="Arial" w:hAnsi="Arial"/>
          <w:sz w:val="16"/>
          <w:szCs w:val="16"/>
          <w:i w:val="1"/>
          <w:iCs w:val="1"/>
          <w:color w:val="auto"/>
        </w:rPr>
        <w:t xml:space="preserve"> </w:t>
      </w:r>
      <w:r>
        <w:rPr>
          <w:rFonts w:ascii="Arial" w:cs="Arial" w:eastAsia="Arial" w:hAnsi="Arial"/>
          <w:sz w:val="16"/>
          <w:szCs w:val="16"/>
          <w:color w:val="auto"/>
        </w:rPr>
        <w:t>10,000,000 Preferred Shares. Holders of common shares have the same rights. All of our outstanding common shares are fully paid and non-assessable.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Amended Memorandum and Articles of Association do not provide for pre-emptive rights.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our common shares are entitled to an equal share of such dividends, as may be declared by our Board subject to the BVI Act.</w:t>
      </w:r>
      <w:r>
        <w:rPr>
          <w:rFonts w:ascii="Arial" w:cs="Arial" w:eastAsia="Arial" w:hAnsi="Arial"/>
          <w:sz w:val="18"/>
          <w:szCs w:val="18"/>
          <w:i w:val="1"/>
          <w:iCs w:val="1"/>
          <w:color w:val="auto"/>
        </w:rPr>
        <w:t xml:space="preserve"> </w:t>
      </w:r>
      <w:r>
        <w:rPr>
          <w:rFonts w:ascii="Arial" w:cs="Arial" w:eastAsia="Arial" w:hAnsi="Arial"/>
          <w:sz w:val="18"/>
          <w:szCs w:val="18"/>
          <w:color w:val="auto"/>
        </w:rPr>
        <w:t>Our Amended Memorandum and Articles of Association provide that dividends may be declared and paid at such time, and in such an amount, as the directors determine. Under the BVI Act, the directors must be satisfied that the Company will meet the statutory solvency test immediately after the dividend.</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In respect of all matters subject to a shareholders’ vote, each common share is entitled to one vote for each common share registered in his or</w:t>
      </w:r>
      <w:r>
        <w:rPr>
          <w:rFonts w:ascii="Arial" w:cs="Arial" w:eastAsia="Arial" w:hAnsi="Arial"/>
          <w:sz w:val="18"/>
          <w:szCs w:val="18"/>
          <w:i w:val="1"/>
          <w:iCs w:val="1"/>
          <w:color w:val="auto"/>
        </w:rPr>
        <w:t xml:space="preserve"> </w:t>
      </w:r>
      <w:r>
        <w:rPr>
          <w:rFonts w:ascii="Arial" w:cs="Arial" w:eastAsia="Arial" w:hAnsi="Arial"/>
          <w:sz w:val="18"/>
          <w:szCs w:val="18"/>
          <w:color w:val="auto"/>
        </w:rPr>
        <w:t>her name on our register of shareholders. Holders of common shares shall at all times vote together on all resolutions submitted to a vote of the shareholders. Voting at any meeting of shareholders is by show of hands unless a poll is demanded. A poll may be demanded by the chairperson of such meeting or any one shareholder.</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quorum required for a meeting of shareholders consists of at least 50% of the votes of the shares or class or series of shares entitled to vote present in person or by proxy at the meeting or, if a corporation or other non-natural person, by its duly authorized representative. Shareholders’ meetings must be held annually. Each general meeting, other than an annual general meeting, shall be an extraordinary general meeting. Directors may call general meetings, and they shall on a shareholders’ requisition forthwith proceed to convene an extraordinary general meeting of the Company. Extraordinary general meetings of the shareholders of the Company may be called,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purpose as is a proper matter for shareholder action under applicable BVI law, by (i) the Chairperson of the Board, (ii) the Chief Executive Officer, (iii) the directors pursuant to a resolution of directors or (iv) by shareholders holding not less than 10% of the votes of the outstanding voting shares entitled to vote at the meeting. The directors shall determine the time and place, if any, of such general meeting. Advance notice of not less than 10 and not more than 60 days is required for the convening of our annual general meeting and other general meetings unless such notice is waived in accordance with our Amended Memorandum and Articles of Association.</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Appointment and Removal of Directors. </w:t>
      </w:r>
      <w:r>
        <w:rPr>
          <w:rFonts w:ascii="Arial" w:cs="Arial" w:eastAsia="Arial" w:hAnsi="Arial"/>
          <w:sz w:val="18"/>
          <w:szCs w:val="18"/>
          <w:color w:val="auto"/>
        </w:rPr>
        <w:t>In accordance with our Amended Memorandum and Articles of Association, any director may be appointed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of shareholders and may be removed, with cause, by the affirmative vote of at least sixty-six and two-thirds percent (66 2/3%) of the votes of the common shares entitled to vote.</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Transfer of Common Shares. </w:t>
      </w:r>
      <w:r>
        <w:rPr>
          <w:rFonts w:ascii="Arial" w:cs="Arial" w:eastAsia="Arial" w:hAnsi="Arial"/>
          <w:sz w:val="18"/>
          <w:szCs w:val="18"/>
          <w:color w:val="auto"/>
        </w:rPr>
        <w:t>Under the BVI Act shares that are listed on a recognized exchange may be transferred without the need for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if the transfer is carried out in accordance with the laws, rules, procedures and other requirements applicable to shares listed on the recognized exchange and subject to the Company’s Amended Memorandum and Articles of Association.</w:t>
      </w:r>
    </w:p>
    <w:p>
      <w:pPr>
        <w:spacing w:after="0" w:line="13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our Amended Memorandum and Articles of Association, our Board may refuse or delay the registration of a transfer of shares where it reasonably determines that it is in the best interest of the Company to do so. Without limiting the generality of the foregoing, our Board may refuse or delay the registration of a transfer of shares if the transferor has failed to pay an amount due in respect of those shares. Where our Board passes a resolution to refuse or delay the registration of a transfer, the Company shall, as soon as practicable, send the transferor and the transferee a notice of the refusal or delay.</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On a liquidation or winding up of the Company assets available for distribution among the holders of common shares shall be distributed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holders of the common shares on a pro rata basis.</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Calls on Common Shares and Forfeiture of Common Shares. </w:t>
      </w:r>
      <w:r>
        <w:rPr>
          <w:rFonts w:ascii="Arial" w:cs="Arial" w:eastAsia="Arial" w:hAnsi="Arial"/>
          <w:sz w:val="18"/>
          <w:szCs w:val="18"/>
          <w:color w:val="auto"/>
        </w:rPr>
        <w:t>Our Board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common shares in a notice served to such shareholders at least 14 clear days prior to the specified time of payment. The common shares that have been called upon and remain unpaid are subject to forfeiture.</w:t>
      </w:r>
    </w:p>
    <w:p>
      <w:pPr>
        <w:spacing w:after="0" w:line="13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color w:val="auto"/>
        </w:rPr>
        <w:t xml:space="preserve">Redemption of Common Shares. </w:t>
      </w:r>
      <w:r>
        <w:rPr>
          <w:rFonts w:ascii="Arial" w:cs="Arial" w:eastAsia="Arial" w:hAnsi="Arial"/>
          <w:sz w:val="18"/>
          <w:szCs w:val="18"/>
          <w:color w:val="auto"/>
        </w:rPr>
        <w:t>The BVI Act and our Amended Memorandum and Articles of Association permit us to purchase our own shares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written consent of the relevant shareholders, on such terms and in such manner as may be determined by our Board and by a resolution of directors and in accordance with the BVI Act.</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Variation of Rights of Shares. </w:t>
      </w:r>
      <w:r>
        <w:rPr>
          <w:rFonts w:ascii="Arial" w:cs="Arial" w:eastAsia="Arial" w:hAnsi="Arial"/>
          <w:sz w:val="17"/>
          <w:szCs w:val="17"/>
          <w:color w:val="auto"/>
        </w:rPr>
        <w:t>Other than with respect to the issuance of the Preferred Shares in accordance with our Amended Memorandum and Articles</w:t>
      </w:r>
      <w:r>
        <w:rPr>
          <w:rFonts w:ascii="Arial" w:cs="Arial" w:eastAsia="Arial" w:hAnsi="Arial"/>
          <w:sz w:val="17"/>
          <w:szCs w:val="17"/>
          <w:i w:val="1"/>
          <w:iCs w:val="1"/>
          <w:color w:val="auto"/>
        </w:rPr>
        <w:t xml:space="preserve"> </w:t>
      </w:r>
      <w:r>
        <w:rPr>
          <w:rFonts w:ascii="Arial" w:cs="Arial" w:eastAsia="Arial" w:hAnsi="Arial"/>
          <w:sz w:val="17"/>
          <w:szCs w:val="17"/>
          <w:color w:val="auto"/>
        </w:rPr>
        <w:t>of Association, all or any of the rights attached to any class or series of shares may, subject to the provisions of the BVI Act,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issuance of further shares ranking pari passu with or superior to such existing class of shares.</w:t>
      </w:r>
    </w:p>
    <w:p>
      <w:pPr>
        <w:spacing w:after="0" w:line="124"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Amended Memorandum of Association authorizes our Board to issue additional common shares from time to time as</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shall determine. However, under British Virgin Islands law, our directors may only exercise the rights and powers granted to them under our Amended Memorandum and Articles of Association for a proper purpose and for what they believe in good faith to be in the best interests of our Company.</w:t>
      </w:r>
    </w:p>
    <w:p>
      <w:pPr>
        <w:spacing w:after="0" w:line="9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 xml:space="preserve">Inspection of Books and Records. </w:t>
      </w:r>
      <w:r>
        <w:rPr>
          <w:rFonts w:ascii="Arial" w:cs="Arial" w:eastAsia="Arial" w:hAnsi="Arial"/>
          <w:sz w:val="16"/>
          <w:szCs w:val="16"/>
          <w:color w:val="auto"/>
        </w:rPr>
        <w:t>A shareholder of the Company is entitled, on giving written notice to the Company, to inspect (a) the memorandum and</w:t>
      </w:r>
      <w:r>
        <w:rPr>
          <w:rFonts w:ascii="Arial" w:cs="Arial" w:eastAsia="Arial" w:hAnsi="Arial"/>
          <w:sz w:val="16"/>
          <w:szCs w:val="16"/>
          <w:i w:val="1"/>
          <w:iCs w:val="1"/>
          <w:color w:val="auto"/>
        </w:rPr>
        <w:t xml:space="preserve"> </w:t>
      </w:r>
      <w:r>
        <w:rPr>
          <w:rFonts w:ascii="Arial" w:cs="Arial" w:eastAsia="Arial" w:hAnsi="Arial"/>
          <w:sz w:val="16"/>
          <w:szCs w:val="16"/>
          <w:color w:val="auto"/>
        </w:rPr>
        <w:t>articles of association of the Company; (b) the register of shareholders; (c) the register of directors; and (d) the minutes of meetings and resolutions of shareholders and of those classes of shareholders of which he is a shareholder; and to make copies of or take extracts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documents and records. Subject to the Amended Memorandum and Articles of Association, the directors may, if they are satisfied that it would be contrary to the Company’s interests to allow a shareholder to inspect any document, or part of a document, specified in (b), (c) and (d) above, refuse to permit the shareholder to inspect the document or limit the inspection of the document, including limiting the making of copies or the taking of extracts from the records.</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Where a company fails or refuses to permit a shareholder to inspect a document or permits a shareholder to inspect a document subject to limitations, that shareholder may apply to the BVI High Court for an order that he should be permitted to inspect the document or to inspect the document without limitation.</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company is required to keep at the office of its registered agent: its memorandum and articles of association of the company; the register of shareholders or a copy of the register of shareholders; the register of directors or a copy of the register of directors; and copies of all notices and other documents filed by the company in the previous ten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Amended Memorandum and Articles of Association provide that preferred shares may be issued from time to time in one or more series. Our Board is authorized to fix the voting rights, if any, designations, powers, preferences, the relative, participating, optional or other special rights and any qualifications, limitations and restrictions thereof, applicable to the shares of each series. Our Board is able to, without shareholder approval, issue preferred shares with voting and other rights that could adversely affect the voting power and other rights of the holders of the common shares and could have anti-takeover effects. The ability of our Board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Right to Own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limitations on the right to own our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Shareholder Ownership</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provisions in the Amended Memorandum and Articles of Association governing the ownership threshold above which shareholder ownership must be disclosed.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Some provisions of our Amended Memorandum and Articles of Association may discourage, delay or prevent a change of control of our company or management that shareholders may consider favorable, including provisions that:</w:t>
      </w:r>
    </w:p>
    <w:p>
      <w:pPr>
        <w:spacing w:after="0" w:line="11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such that not all shareholders of the Board are elected at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the manner in which shareholders can remove directors from the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 advance notice requirements for shareholder proposals that can be acted on at shareholder meetings and nominations to our Board;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require that shareholder actions must be effected at a duly called shareholder meeting and prohibit actions by our shareholders by written consent;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320" w:top="1440" w:right="419" w:bottom="1440" w:gutter="0" w:footer="0" w:header="0"/>
        </w:sectPr>
      </w:pPr>
    </w:p>
    <w:bookmarkStart w:id="48" w:name="page49"/>
    <w:bookmarkEnd w:id="48"/>
    <w:p>
      <w:pPr>
        <w:spacing w:after="0" w:line="130" w:lineRule="exact"/>
        <w:rPr>
          <w:sz w:val="20"/>
          <w:szCs w:val="20"/>
          <w:color w:val="auto"/>
        </w:rPr>
      </w:pPr>
    </w:p>
    <w:p>
      <w:pPr>
        <w:ind w:left="660" w:right="34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to issue preferred shares in one or more series and to designate the price, rights, preferences, privileges and restrictions of such preference shares without any further vote or action by our shareholders without shareholder approval, which could be used to institute a shareholder rights plan, or so-called “poison pill,” that would work to dilute the stock ownership of a potential hostile acquirer, effectively preventing acquisitions that have not been approved by our Board.</w:t>
      </w:r>
    </w:p>
    <w:p>
      <w:pPr>
        <w:spacing w:after="0" w:line="13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However, under British Virgin Islands law, our directors may only exercise the rights and powers granted to them under our Amended Memorandum and Articles of Association for a proper purpose and for what they believe in good faith to be in the best interests of our Company.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Claim</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our Amended Memorandum and Articles of Association, in the event that (i) any Member or prior Member (“Claiming Party”) initiates or asserts any claim or counterclaim (“Claim”) or joins, offers substantial assistance to or has a direct financial interest in any Claim against the Company or its subsidiaries, directors or Members (including any Claim purportedly filed on behalf of the Company or any Member), and (ii) the Claiming Party (or the third party that received substantial assistance from the Claiming Party or in whose Claim the Claiming Party had a direct financial interest) does not obtain a judgment on the merits that substantially achieves, in substance and amount, the full remedy sought, then each Claiming Party shall be obligated, jointly and severally, to reimburse the Company and any such Member or Members for all fees, costs and expenses of every kind and description (including, but not limited to, all reasonable attorneys’ fees and other litigation expenses) that the parties may incur in connection with such Claim.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BVI Act, and the other laws of the British Virgin Islands, or the BVI, affecting BVI business companies like us and our shareholders differ from laws applicable to U.S. Delaware corporations and their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BVI Corporate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BVI Act two or more BVI companies or a BVI company and non-BVI company, each a “constituent company”, may merge or consolidate. The BVI Act provides for slightly different procedures depending on the nature of the parties to the merger.</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merger involves the merging of two or more companies into one of the constituent companies (to the merger) with one constituent company continuing in existence to become the surviving company post-merger. A consolidation involves two or more companies consolidating into a new company.</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merger is effective on the date that the articles of merger (as described below) are registered by the Registrar of Corporate Affairs in the BVI, or on such later date, not exceeding 30 days from the date of registration as is stated in the articles of merger.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soon as a merger becomes effective:</w:t>
      </w:r>
    </w:p>
    <w:p>
      <w:pPr>
        <w:spacing w:after="0" w:line="171" w:lineRule="exact"/>
        <w:rPr>
          <w:sz w:val="20"/>
          <w:szCs w:val="20"/>
          <w:color w:val="auto"/>
        </w:rPr>
      </w:pPr>
    </w:p>
    <w:p>
      <w:pPr>
        <w:ind w:left="660" w:right="200" w:hanging="328"/>
        <w:spacing w:after="0" w:line="277" w:lineRule="auto"/>
        <w:tabs>
          <w:tab w:leader="none" w:pos="6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surviving company (so far as is consistent with its memorandum and articles, as amended by the articles of merger) has all rights, privileges, immunities, powers, objects and purposes of each of the constituent companies;</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memorandum and articles of the surviving company are automatically amended to the extent, if any, that changes to its memorandum and articles are contained in the articles of merger;</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assets of every description, including choses in action and the business of each of the constituent companies, immediately vest in the surviving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3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surviving company is liable for all claims, debts, liabilities and obligations of each of the constituent companies;</w:t>
      </w:r>
    </w:p>
    <w:p>
      <w:pPr>
        <w:spacing w:after="0" w:line="171" w:lineRule="exact"/>
        <w:rPr>
          <w:rFonts w:ascii="Arial" w:cs="Arial" w:eastAsia="Arial" w:hAnsi="Arial"/>
          <w:sz w:val="18"/>
          <w:szCs w:val="18"/>
          <w:color w:val="auto"/>
        </w:rPr>
      </w:pPr>
    </w:p>
    <w:p>
      <w:pPr>
        <w:ind w:left="660" w:right="540" w:hanging="328"/>
        <w:spacing w:after="0" w:line="308" w:lineRule="auto"/>
        <w:tabs>
          <w:tab w:leader="none" w:pos="65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conviction, judgment, ruling, order, claim, debt, liability or obligation due or to become due, and no cause existing, against a constituent company or against any shareholder, director, officer or agent thereof, is released or impaired by the merger; and</w:t>
      </w:r>
    </w:p>
    <w:p>
      <w:pPr>
        <w:spacing w:after="0" w:line="92" w:lineRule="exact"/>
        <w:rPr>
          <w:rFonts w:ascii="Arial" w:cs="Arial" w:eastAsia="Arial" w:hAnsi="Arial"/>
          <w:sz w:val="17"/>
          <w:szCs w:val="17"/>
          <w:color w:val="auto"/>
        </w:rPr>
      </w:pPr>
    </w:p>
    <w:p>
      <w:pPr>
        <w:ind w:left="660" w:hanging="328"/>
        <w:spacing w:after="0" w:line="277" w:lineRule="auto"/>
        <w:tabs>
          <w:tab w:leader="none" w:pos="6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proceedings, whether civil or criminal, pending at the time of a merger by or against a constituent company, or against any shareholder, director or officer, or agent thereof, are abated or discontinued by the merger; but</w:t>
      </w:r>
    </w:p>
    <w:p>
      <w:pPr>
        <w:spacing w:after="0" w:line="116" w:lineRule="exact"/>
        <w:rPr>
          <w:rFonts w:ascii="Arial" w:cs="Arial" w:eastAsia="Arial" w:hAnsi="Arial"/>
          <w:sz w:val="18"/>
          <w:szCs w:val="18"/>
          <w:color w:val="auto"/>
        </w:rPr>
      </w:pPr>
    </w:p>
    <w:p>
      <w:pPr>
        <w:ind w:left="980" w:right="620" w:hanging="324"/>
        <w:spacing w:after="0" w:line="277" w:lineRule="auto"/>
        <w:tabs>
          <w:tab w:leader="none" w:pos="96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proceedings may be enforced, prosecuted, settled or compromised by or against the surviving company or against the shareholder, director, officer or agent thereof, as the case may be;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surviving company may be substituted in the proceedings for a constituent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registrar shall strike off the Register of Companies a constituent company that is not the surviving company in the merger.</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BVI Act provides that any shareholder of the Company is entitled to payment of the fair value of his shares upon dissenting from a merger, unless the Company is the surviving company of the merger and the shareholder continues to hold the same or similar shares. The following is a summary of the position in respect of dissenters’ rights in the event of a merger under the BVI Act.</w:t>
      </w:r>
    </w:p>
    <w:p>
      <w:pPr>
        <w:spacing w:after="0" w:line="13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 dissenter is in most circumstances required to give to the Company written objection to the merger, which must include a statement that the dissenter proposes to demand payment for his shares if the merger takes place. This written objection must be given before the meeting of shareholders at which the merger is submitted to a vote, or at the meeting but before the vote. However, no objection is required from a shareholder to whom the Company did not give notice of the meeting of shareholders or where the proposed merger is authorized by written consent of the shareholders without a meeting.</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Within 20 days immediately following the written consent, or the meeting at which the merger was approved, the Company shall give written notice of the consent or resolution to each shareholder who gave written objection or from whom written objection was not required, except those shareholders who voted for, or consented in writing to, the proposed merger.</w:t>
      </w:r>
    </w:p>
    <w:p>
      <w:pPr>
        <w:spacing w:after="0" w:line="13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shareholder to whom the Company was required to give notice who elects to dissent shall, within 20 days immediately following the date on which the copy of the plan of merger or an outline of the merger is given to him, give to the Company a written notice of his decision to elect to dissent, stating:</w:t>
      </w:r>
    </w:p>
    <w:p>
      <w:pPr>
        <w:spacing w:after="0" w:line="70"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his name and address;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and classes of shares in respect of which he dissents (which must be all shares that he holds in the Company);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demand for payment of the fair value of his shares.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the giving of a notice of election to dissent, the dissenter ceases to have any of the rights of a shareholder except the right to be paid the fair value of his shares, and the right to institute proceedings to obtain relief on the ground that the action is illegal.</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shall make a written offer to each dissenter to purchase his shares at a specified price that the Company determines to be their fair value. Such offer must be given within 7 days immediately following the date of the expiration of the period within which shareholders may give their notices of election to dissent, or within 7 days immediately following the date on which the merger is put into effect,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Company and the dissenter fail, within 30 days immediately following the date on which the offer is made, to agree on the price to be paid for the shares owned by the dissenter, then within 20 days:</w:t>
      </w:r>
    </w:p>
    <w:p>
      <w:pPr>
        <w:spacing w:after="0" w:line="116"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and the dissenter shall each designate an appraiser;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two designated appraisers together shall designate an appraiser;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three appraisers shall fix the fair value of the shares owned by the dissenter as of the close of business on the day prior to the date of the meeting or the date on which the resolution was passed, excluding any appreciation or depreciation directly or indirectly induced by the action or its proposal, and that value is binding on the Company and the dissenter for all purposes;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shall pay to the dissenter the amount in money upon the surrender by him of the certificates representing his shares, and such shares shall be cancelled.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provisions of the BVI Act, the memorandum and articles of association of a company are binding as between the company and its shareholders and between the shareholders.</w:t>
      </w:r>
    </w:p>
    <w:p>
      <w:pPr>
        <w:spacing w:after="0" w:line="11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If the majority shareholders have infringed a minority shareholder’s rights, the minority may seek to enforce its rights either by derivative action or by personal action. A derivative action concerns the infringement of the company’s rights where the wrongdoers are in control of the company and are preventing it from taking action, whereas a personal action concerns the infringement of a right that is personal to the particular shareholder concerned.</w:t>
      </w:r>
    </w:p>
    <w:p>
      <w:pPr>
        <w:spacing w:after="0" w:line="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BVI Act provides for a series of remedies available to shareholders. Where a company incorporated under the BVI Act conducts some activity which breaches the BVI Act or the company’s memorandum and articles of association, the BVI High Court can issue a restraining or compliance order. Shareholders can now also bring derivative, personal and representative actions under certain circumstances.</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Generally any other claims against a company by its shareholders must be based on the general laws of contract or tort applicable in the BVI or their individual rights as shareholders as established by the company’s memorandum and articles of association.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certain circumstances, a shareholder has the right to seek various remedies against the company in the event the directors are in breach of their duties under the BVI Act. Pursuant to Section 184B of the BVI Act, if a company or director of a company engages in, proposes to engage in or has engaged in, conduct that contravenes the provisions of the BVI Act or the memorandum or articles of association of the company, the courts of the British Virgin Islands may, on application of a shareholder or director of the company, make an order directing the company or director to comply with, or restraining the company or director from engaging in conduct that contravenes the BVI Act or the memorandum or articles. Furthermore, pursuant to Section 184I(1) of the BVI Act,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courts of the British Virgin Islands for an order which, inter alia, can require the company or any other person to pay compensation to the shareholders.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BVI Corporate Law and Delaware U.S. Corporate Law</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Set forth below is a summary of the significant differences between the provisions of the laws of the BVI applicable to us and the laws applicable to companies incorporated in Delaware in the United States and their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the Delaware General Corporation Law, a shareholder has the right to put any proposal before the annual meeting of shareholders, provided it complies with the notice provisions in the governing documents. A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1440" w:right="419" w:bottom="1440" w:gutter="0" w:footer="0" w:header="0"/>
        </w:sectPr>
      </w:pPr>
    </w:p>
    <w:bookmarkStart w:id="51" w:name="page52"/>
    <w:bookmarkEnd w:id="51"/>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meeting may be called by the Board or any other person authorized to do so in the governing documents, but shareholders may be precluded from calling special meetings. Our Amended Memorandum and Articles of Association allow our shareholders holding not less than 10% of the votes of the outstanding voting shares to requisition a shareholders’ meeting. We are not obliged by law to call shareholders’ annual general meetings, but our Amended Memorandum and Articles of Association permit the directors to call shareholders’ annual general meetings, and we expect to do so in the future. The location of any shareholders’ meeting can be determined by the Board and can be held anywhere in the world.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There are no prohibitions in relation to cumulative voting under the laws of the British Virgin Islands but our Amended Memorandum and Articles of Association do not provide for cumulative voting. As a result, our shareholders are not afforded any less protections or rights on this issue than shareholders of a Delaware corporation.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Although British Virgin Islands law provides that companies may permit shareholder actions by written consent, our Amended Memorandum and Articles of Association provide that shareholders may not approve corporate matters by way of a written resolution.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Memorandum and Articles of Association</w:t>
      </w:r>
    </w:p>
    <w:p>
      <w:pPr>
        <w:spacing w:after="0" w:line="17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Amended Memorandum and Articles of Association may be amended with a resolution of our shareholders or, with certain exception by resolutions of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Memorandum and Articles of Association, directors can be removed from office, with cause, by a resolution of shareholders passed at a meeting called for the purpose of removing the director or for purposes including the removal of the director by the affirmative vote of at least sixty-six and two-thirds percent (66 2/3%) of the votes of the common shares entitled to vote.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71"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w:t>
      </w:r>
      <w:r>
        <w:rPr>
          <w:rFonts w:ascii="MS PGothic" w:cs="MS PGothic" w:eastAsia="MS PGothic" w:hAnsi="MS PGothic"/>
          <w:sz w:val="16"/>
          <w:szCs w:val="16"/>
          <w:color w:val="auto"/>
        </w:rPr>
        <w:t>‑</w:t>
      </w:r>
      <w:r>
        <w:rPr>
          <w:rFonts w:ascii="Arial" w:cs="Arial" w:eastAsia="Arial" w:hAnsi="Arial"/>
          <w:sz w:val="16"/>
          <w:szCs w:val="16"/>
          <w:color w:val="auto"/>
        </w:rPr>
        <w:t>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w:t>
      </w:r>
    </w:p>
    <w:p>
      <w:pPr>
        <w:spacing w:after="0" w:line="14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British Virgin Islands law has no comparable statute. As a result, we are not afforded the same statutory protections in the British Virgin Islands as we would be offered by the Delaware business combination statute. However, although British Virgin Islands law does not regulate transactions between a company and its significant shareholders, it does provide that such transactions must be entered into bona fide in the best interests of the company and not with the effect of constituting a fraud on the minority shareholders. See also “Shareholders’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above. We have adopted a code of business conduct and ethics which requires employees to fully disclose any situations that could reasonably be expected to give rise to a conflict of interest, and sets forth relevant restrictions and procedures when a conflict of interest arises to ensure the best interest of the Company. Our Amended Memorandum and Articles of Association also import the provisions of the Delaware General Corporation Law which prohibits the Company from engaging in certain business combinations with an “interested shareholder” for three years following the date that such person becomes an interested shareholder unless (i) prior to the date on which such shareholder becomes an interested shareholder, the board of directors approves either the business combination or the transaction which resulted in the person becoming an interested shareholder, (ii) upon consummation of the transaction which resulted in the shareholder becoming an interested shareholder, the interested shareholder owned at least 85% of the votes of shares in the Company outstanding at the time the transaction commenced or (iii) at or subsequent to such time the business combination is approved by the Board and authorized at an annual or extraordinary general meeting of shareholders, and not by written consent, by the affirmative vote of at least 66 2/3% of the votes of shares not owned by the interested shareholder.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31"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Under British Virgin Islands law, the directors owe fiduciary duties at both common law and under statute, including a statutory duty to act honestly, in good faith and with a view to our best interests. When exercising powers or performing duties as a director, the director is required to exercise the care, diligence and skill that a reasonable director would exercise in the circumstances taking into account, without limitation, the nature of the company, the nature of the decision and the position of the director and the nature of the responsibilities undertaken by him. In exercising the powers of a director, the directors must exercise their powers for a proper purpose and shall not act or agree to the company acting in a manner that contravenes our memorandum and articles of association or the BVI Act.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BVI law does not limit the extent to which a company’s memorandum and articles of association may provide for indemnification of officers and directors, except to the extent any such provision may be held by the BVI High Court to be contrary to public policy (e.g., for purporting to provide indemnification against the consequences of committing a crime). An indemnity will be void and of no effect and will not apply to a person unless the person acted honestly and in good faith and in what he believed to be in the best interests of the company and, in the case of criminal proceedings, the person had no reasonable cause to believe that his conduct was unlawful. Our Amended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our Amended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than with respect to the issuance of the Preferred Shares in accordance with our Amended Memorandum and Articles of Association, all or any of the rights attached to any class or series of shares may, subject to the provisions of the BVI Act, be varied with the consent in writing of all the holders of the issued shares of that class or series or with the sanction of a resolution passed by a majority of the votes cast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superior to such existing class of shares.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Winding-Up</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BVI law, the liquidation of a company may be a voluntary solvent liquidation or an insolvent liquidation under the BVI Insolvency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Liquidation</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the liquidation is a solvent liquidation, the provisions of the BVI Act governs the liquidation. A company may only be liquidated under the BVI Act as a solvent liquidation if it has no liabilities or it is able to pay its debts as they fall due and the value of its assets exceeds its liabilities. Subject to the Amended Memorandum and Articles of Association, a liquidator may be appointed by a resolution of directors or resolution of shareholders but if the directors have commenced liquidation by a resolution of directors the shareholders must approve the liquidation plan by a resolution of shareholders save in limited circumstances.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liquidator is appointed for the purpose of collecting in and realizing the assets of a company and distributing proceeds to creditors.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expect that in the event of a voluntary liquidation of the Company, after payment of the liquidation costs and any sums then due to creditors, the liquidator would distribute our remaining assets on a pari passu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are no limitations imposed by our Amended Memorandum and Articles of Association on the rights of non-resident or foreign shareholders to hold or exercise voting rights on our shares. In addition, there are no provisions in our Amended Memorandum and Articles of Association governing the ownership threshold above which shareholder ownership must be disclosed.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any person resident in the British Virgin Islands knows or suspects that another person is engaged in money laundering or terrorist financing and the information for that knowledge or suspicion came to their attention in the course of their business the person will be required to report his belief or suspicion to the Financial Investigation of the British Virgin Islands, pursuant to the Proceeds of Criminal Conduct Act (as revised). Such a report shall not be treated as a breach of confidence or of any restriction upon the disclosure of information imposed by any enactment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Listing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are listed on the New York Stock Exchange under the trading symbol “BHVN.”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and registrar for our common shares is Equiniti Trust Company, LLC. The transfer agent’s address is 6201 15th Avenue, Brooklyn, NY 11219.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1440" w:right="479" w:bottom="1440" w:gutter="0" w:footer="0" w:header="0"/>
        </w:sectPr>
      </w:pPr>
    </w:p>
    <w:bookmarkStart w:id="55" w:name="page56"/>
    <w:bookmarkEnd w:id="5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DEPOSITARY SHARES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the material terms and provisions of the depositary shares and depositary receipts that we may offer under this prospectus. While the terms we have summarized below will generally apply to any future depositary shares or depositary receipts we may offer under this prospectus, we will describe the particular terms of any depositary shares or depositary receipts that we may offer in more detail in the applicable prospectus supplement.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deposit agreement that describes the terms of the depositary shares and depositary receipts we may offer before the issuance thereof. The following summary is subject to, and qualified in its entirety by reference to, all provisions of the deposit agreement applicable to a particular offering of depositary shares or depositary receipts. We urge you to read any applicable prospectus supplement related to the depositary shares or depositary receipts that we sell under this prospectus, as well as the complete deposit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Depositary Shares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offer depositary shares evidenced by depositary receipts. Each depositary share represents a fraction or a multiple of a share of the particular series of preferred shares issued and deposited with a depositary to be designated by us. The fraction or the multiple of a share of preferred shares which each depositary share represents will be set forth in the applicable prospectus supplement.</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will deposit the preferred shares of any series of preferred shares represented by depositary shares according to the provisions of a deposit agreement to be entered into between us and a bank or trust company which we will select as our preferred shares depositary. We will name the depositary in the applicable prospectus supplement. Each holder of a depositary share will be entitled to all the rights and preferences of the underlying preferred shares in proportion to the applicable fraction or multiple of a share of preferred shares represented by the depositary share. These rights may include dividend, voting, redemption, conversion and liquidation rights. The depositary will send the holders of depositary shares all reports and communications that we deliver to the depositary and which we are required to furnish to the holders of depositary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Receipts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anyone who is buying the fractional preferred shares in accordance with the terms of the applicable prospectus supplement.</w:t>
      </w:r>
    </w:p>
    <w:p>
      <w:pPr>
        <w:spacing w:after="0" w:line="11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While definitive engraved depositary receipts (certificates) are being prepared, we may instruct the depositary to issue temporary depositary receipts, which will entitle holders to all the rights of the definitive depositary receipts and be substantially in the same form. The depositary will prepare definitive depositary receipts without unreasonable delay, and we will pay for the exchange of your temporary depositary receipts for definitive depositary receipts.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Shares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Unless the related depositary shares have previously been called for redemption, a holder of depositary shares may receive the number of whole shares of the related series of preferred shares and any money or other property represented by the holder’s depositary receipts after surrendering the depositary receipts at the corporate trust office of the depositary, paying any taxes, charges and fees provided for in the deposit agreement and complying with any other requirement of the deposit agreement. Partial preferred shares will not be issued. If the surrendered depositary shares exceed the number of depositary shares that represent the number of whole preferred shares the holder wishes to withdraw, then the depositary will deliver to the holder at the same time a new depositary receipt evidencing the excess number of depositary shares. Once the holder has withdrawn the preferred shares, the holder will not be entitled to re-deposit such preferred shares under the deposit agreement or to receive depositary shares in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such preferred shares. We do not expect that there will be any public trading market for withdrawn preferred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depositary will distribute to record holders of depositary shares any cash dividends or other cash distributions it receives on preferred shares, after deducting its fees and expenses. Each holder will receive these distributions in proportion to the number of depositary shares owned by the holder. The depositary will distribute only whole U.S. dollars and cents. The depositary will add any fractional cents not distributed to the next sum received for distribution to record holders of depositary shares. In the event of a non-cash distribution, the depositary will distribute property to the record holders of depositary shares, unless the depositary determines that it is not feasible to make such a distribution. If this occurs, the depositary may, with our approval, sell the property and distribute the net proceeds from the sale to the holders. The amounts distributed to holders of depositary shares will be reduced by any amounts required to be withheld by the depositary or by us on account of taxes or other governmental charges.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the series of preferred shares represented by depositary shares is subject to redemption, we will give the necessary proceeds to the depositary. The depositary will then redeem the depositary shares using the funds they received from us for the preferred shares. The redemption price per depositary share will be equal to the redemption price payable per share for the applicable series of the preferred shares and any other amounts per share payable with respect to the preferred shares multiplied by the fraction or multiple of a preferred share represented by one depositary share. Whenever we redeem preferred shares held by the depositary, the depositary will redeem the depositary shares representing the preferred shares on the same day, provided we have paid in full to the depositary the redemption price of the preferred shares to be redeemed and any accrued and unpaid dividends. If fewer than all the depositary shares of a series are to be redeemed, the depositary shares will be selected by lot or ratably or by any other equitable methods as the depositary will decide.</w:t>
      </w:r>
    </w:p>
    <w:p>
      <w:pPr>
        <w:spacing w:after="0" w:line="1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After the date fixed for redemption, the depositary shares called for redemption will no longer be considered outstanding. Therefore, all rights of holders of the depositary shares will then cease, except that the holders will still be entitled to receive any cash payable upon the redemption and any money or other property to which the holder was entitled at the time of redemption. To receive this amount or other property, the holders must surrender the depositary receipts evidencing their depositary shares to the depositary. Any funds that we deposit with the depositary for any depositary shares that the holders fail to redeem will be returned to us after a period of one year from the date we deposit the funds.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Shares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shares are entitled to vote, the depositary will notify holders of depositary shares of the upcoming vote and arrange to deliver our voting materials to the holders. The record date for determining holders of depositary shares that are entitled to vote will be the same as the record date for the preferred shares. The materials the holders will receive will describe the matters to be voted on and explain how the holders, on a certain date, may instruct the depositary to vote the preferred shares underlying the depositary shares. For instructions to be valid, the depositary must receive them on or before the date specified. To the extent possible, the depositary will vote the shares as instructed by the holder. We agree to take all reasonable actions that the depositary determines are necessary to enable it to vote as a holder has instructed. If the depositary does not receive specific instructions from the holders of any depositary shares, it will vote all shares of that series held by it proportionately with instructions received.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depositary, with our approval or at our instruction, will convert or exchange all depositary shares if the preferred shares underlying the depositary shares are converted or exchanged. In order for the depositary to do so, we will need to deposit the other preferred shares, common shares, or other securities into which the preferred shares are to be converted or for which it will be exchanged.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exchange or conversion rate per depositary share will be equal to:</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exchange or conversion rate per preferred share, multiplied by the fraction or multiple of a preferred share represented by one depositary share;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plus all money and any other property represented by one depositary share;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including all amounts per depositary share paid by us for dividends that have accrued on the preferred shares on the exchange or conversion date and that have not been paid.</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depositary shares, as such, cannot be converted or exchanged into other preferred shares, common shares, securities of another issuer or any other of our securities or property. Nevertheless, if so specified in the applicable prospectus supplement, a holder of depositary shares may be able to surrender the depositary receipts to the depositary with written instructions asking the depositary to instruct us to convert or exchange the preferred shares represented by the depositary shares into other shares of our preferred shares or common shares or to exchange the preferred shares for any other securities registered pursuant to the registration statement of which this prospectus forms a part. If the depositary shares carry this right, we would agree that, upon the payment of any applicable fees, we will cause the conversion or exchange of the preferred shares using the same procedures as we use for the delivery of preferred shares. If a holder is only converting part of the depositary shares represented by a depositary receipt, new depositary receipts will be issued for any depositary shares that are not converted or exchanged.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agree with the depositary to amend the deposit agreement and the form of depositary receipt without consent of the holder at any time. However, if the amendment adds or increases fees or charges, other than any change in the fees of any depositary, registrar or transfer agent, or prejudices an important right of holders, it will only become effective with the approval of holders of at least a majority of the affected depositary shares then outstanding. We will make no amendment that impairs the right of any holder of depositary shares, as described above under “-Withdrawal of Preferred Shares”, to receive preferred shares and any money or other property represented by those depositary shares, except in order to comply with mandatory provisions of applicable law. If an amendment becomes effective, holders are deemed to agree to the amendment and to be bound by the amended deposit agreement if they continue to hold their depositary receipts.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automatically terminates if:</w:t>
      </w:r>
    </w:p>
    <w:p>
      <w:pPr>
        <w:spacing w:after="0" w:line="171" w:lineRule="exact"/>
        <w:rPr>
          <w:sz w:val="20"/>
          <w:szCs w:val="20"/>
          <w:color w:val="auto"/>
        </w:rPr>
      </w:pPr>
    </w:p>
    <w:p>
      <w:pPr>
        <w:ind w:left="660" w:right="60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 converted or exchanged for any other securities into which they or the underlying preferred shares are convertible or exchangeable;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share of preferred shares has been converted into or exchanged for common shares; or</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final distribution in respect of the preferred shares has been made to the holders of depositary receipts in connection with our liquidation, dissolution or winding-up.</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may also terminate the deposit agreement at any time we wish. If we do so, the depositary will give notice of termination to the record holders not less than 30 days before the termination date. Once depositary receipts are surrendered to the depositary, it will send to each holder the number of whole or fractional shares of the series of preferred shares underlying that holder’s depositary receipts.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 and Expenses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pay the fees, charges and expenses of the depositary provided in the deposit agreement to be payable by us. Holders of depositary receipts will pay any taxes and governmental charges and any charges provided in the deposit agreement to be payable by them. If the depositary incurs fees, charges or expenses for which it is not otherwise liable at the election of a holder of a depositary receipt or other person, that holder or other person will be liable for those fees, charges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Our Obligations and Liability to Holders of Depositary Receipts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as follows:</w:t>
      </w:r>
    </w:p>
    <w:p>
      <w:pPr>
        <w:spacing w:after="0" w:line="11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and the depositary are only liable to the holders of depositary receipts for negligence or willful misconduct;</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and the depositary have no obligation to become involved in any legal or other proceeding related to the depositary receipts or the deposit agreement on your behalf or on behalf of any other party, unless you provide us with satisfactory indemnity;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and the depositary may rely upon any written advice of counsel or accountants and on any documents we believe in good faith to be genuine and to have been signed or presented by the proper party.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depositary may resign at any time by notifying us of its election to do so. In addition, we may remove the depositary at any time. Within 60 days after the delivery of a notice of resignation or removal of the depositary, we will appoint a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1440" w:right="459" w:bottom="1440" w:gutter="0" w:footer="0" w:header="0"/>
        </w:sectPr>
      </w:pPr>
    </w:p>
    <w:bookmarkStart w:id="59" w:name="page60"/>
    <w:bookmarkEnd w:id="5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The terms of each series of debt securities will be established by or pursuant to a resolution of our board of directors and set forth in an officer’s certificate or a supplemental indenture. The particular terms of each series of debt securities will be described in a prospectus supplement relating to such series (including any pricing supplement or term sheet), including the following terms, if applicable:</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71"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and any limit on the aggregate principal amount of such series of debt securities;</w:t>
      </w:r>
    </w:p>
    <w:p>
      <w:pPr>
        <w:spacing w:after="0" w:line="116"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including the terms of subordination, if any, of such guarantees;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interest rate, if any, and the method for calculating the interest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dates from which interest will accrue, the interest payment dates and the record dates for the interest payments;</w:t>
      </w:r>
    </w:p>
    <w:p>
      <w:pPr>
        <w:spacing w:after="0" w:line="171"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place or places where principal of, and any interest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mandatory or optional redemption terms;</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dates, if any, on which and the price or prices at which we will repurchase debt securities at the option of the holders of debt securities and other detailed terms and provisions of such repurchase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3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any interest on, the debt securities will be made;</w:t>
      </w:r>
    </w:p>
    <w:p>
      <w:pPr>
        <w:spacing w:after="0" w:line="116"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payments of principal of, any interest on, the debt securities will be made in one or more currencies or currency units other than that or those in which the debt securities are denominated, the manner in which the exchange rate with respect to such payments will be determined;</w:t>
      </w:r>
    </w:p>
    <w:p>
      <w:pPr>
        <w:spacing w:after="0" w:line="69"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any interest on, the debt securities will be determined, if these amounts may be determined by reference to an index based on a currency or currencies or by reference to a commodity, commodity index, stock exchange index or financial index;</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appointed with respect to the debt securities;</w:t>
      </w:r>
    </w:p>
    <w:p>
      <w:pPr>
        <w:spacing w:after="0" w:line="194" w:lineRule="exact"/>
        <w:rPr>
          <w:rFonts w:ascii="Arial" w:cs="Arial" w:eastAsia="Arial" w:hAnsi="Arial"/>
          <w:sz w:val="16"/>
          <w:szCs w:val="16"/>
          <w:color w:val="auto"/>
        </w:rPr>
      </w:pPr>
    </w:p>
    <w:p>
      <w:pPr>
        <w:ind w:left="660" w:right="20" w:hanging="328"/>
        <w:spacing w:after="0" w:line="279"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such series of debt securities are redeemed; and</w:t>
      </w:r>
    </w:p>
    <w:p>
      <w:pPr>
        <w:spacing w:after="0" w:line="117" w:lineRule="exact"/>
        <w:rPr>
          <w:rFonts w:ascii="Arial" w:cs="Arial" w:eastAsia="Arial" w:hAnsi="Arial"/>
          <w:sz w:val="17"/>
          <w:szCs w:val="17"/>
          <w:color w:val="auto"/>
        </w:rPr>
      </w:pPr>
    </w:p>
    <w:p>
      <w:pPr>
        <w:ind w:left="660" w:right="80" w:hanging="328"/>
        <w:spacing w:after="0" w:line="342"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other terms of the series of debt securities that may supplement, modify or delete any provision of the indenture as it applies to that series, including any terms that may be required under applicable law or regulations or advisable in connection with the marketing of the debt securities.</w:t>
      </w:r>
    </w:p>
    <w:p>
      <w:pPr>
        <w:spacing w:after="0" w:line="70"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We may issue debt securities that provide for an amount less than their stated principal amount to be due and payable upon maturity or a declaration of acceleration of their maturity following an event of default pursuant to the terms of the indenture. We will provide you with information on the federal income tax considerations and other special considerations applicable to any of these debt securities in the applicable prospectus supplement.</w:t>
      </w:r>
    </w:p>
    <w:p>
      <w:pPr>
        <w:spacing w:after="0" w:line="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440" w:right="379" w:bottom="1440" w:gutter="0" w:footer="0" w:header="0"/>
        </w:sectPr>
      </w:pPr>
    </w:p>
    <w:bookmarkStart w:id="61" w:name="page62"/>
    <w:bookmarkEnd w:id="6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7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such debt security as a “global debt security”), or a certificate issued in definitive registered form (we will refer to any debt security represented by a certificate as a “certificated debt security”) as set forth in the applicable prospectus supplement. Except as set forth below, global debt securities will not be issuable in certificated form.</w:t>
      </w:r>
    </w:p>
    <w:p>
      <w:pPr>
        <w:spacing w:after="0" w:line="13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 purpose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1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Global Debt Securities and Book-Entry System. </w:t>
      </w:r>
      <w:r>
        <w:rPr>
          <w:rFonts w:ascii="Arial" w:cs="Arial" w:eastAsia="Arial" w:hAnsi="Arial"/>
          <w:sz w:val="16"/>
          <w:szCs w:val="16"/>
          <w:color w:val="auto"/>
        </w:rPr>
        <w:t>Each global debt security will be deposited with, or on behalf of, the depositary, and registered in the name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depositary or a nominee of the depositary. Beneficial interests in global debt securities will not be issuable in certificated form unless (i) the depositary has notified us that it is unwilling or unable to continue as depositary for such global debt security or has ceased to be qualified to act as such as required by the indenture and we fail to appoint a successor depositary within 90 days of such event, (ii) we determine, in our sole discretion, not to have such securities represented by one or more global securities or (iii) 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Biohaven may not consolidate with or merge with or into, or convey, transfer or lease all or substantially all of its assets to any person (a “successor person”) unless:</w:t>
      </w:r>
    </w:p>
    <w:p>
      <w:pPr>
        <w:spacing w:after="0" w:line="116" w:lineRule="exact"/>
        <w:rPr>
          <w:sz w:val="20"/>
          <w:szCs w:val="20"/>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Biohaven is the surviving person or the successor person (if other than Biohaven) expressly assumes Biohaven’s obligations on the debt securities and under the indenture;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above, any of Biohaven’s subsidiaries may consolidate with, merge into or transfer all or part of its properties to Biohaven.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440" w:right="399" w:bottom="1440" w:gutter="0" w:footer="0" w:header="0"/>
        </w:sectPr>
      </w:pPr>
    </w:p>
    <w:bookmarkStart w:id="62" w:name="page63"/>
    <w:bookmarkEnd w:id="6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means with respect to any series of debt securities, any of the following:</w:t>
      </w:r>
    </w:p>
    <w:p>
      <w:pPr>
        <w:spacing w:after="0" w:line="171" w:lineRule="exact"/>
        <w:rPr>
          <w:sz w:val="20"/>
          <w:szCs w:val="20"/>
          <w:color w:val="auto"/>
        </w:rPr>
      </w:pPr>
    </w:p>
    <w:p>
      <w:pPr>
        <w:ind w:left="660" w:right="2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71"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117"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Biohaven;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other event of default provided with respect to a series of debt securities that is described in the applicable prospectus supplement.</w:t>
      </w:r>
    </w:p>
    <w:p>
      <w:pPr>
        <w:spacing w:after="0" w:line="18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such duty or exercising such right of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the securities of any series or for the appointment of a receiver or trustee, or for any remedy under the indenture, unless:</w:t>
      </w:r>
    </w:p>
    <w:p>
      <w:pPr>
        <w:spacing w:after="0" w:line="11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w:t>
      </w:r>
    </w:p>
    <w:p>
      <w:pPr>
        <w:spacing w:after="0" w:line="182"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to the trustee to institute the proceedings in respect of such event of default in its own name as trustee under the indenture;</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has failed to institute any such proceeding for 60 days after its receipt of such notice, request and offer of indemnity; and</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holders of a majority in principal amount of the outstanding debt securities of that series.</w:t>
      </w:r>
    </w:p>
    <w:p>
      <w:pPr>
        <w:spacing w:after="0" w:line="11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and to institute suit for the enforcement of any such payment and such rights shall not be impaired without the consent of such holder.</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60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and the trustee may modify and amend or supplement the indenture or the debt securities of one or more series without the consent of any holder of any debt security:</w:t>
      </w:r>
    </w:p>
    <w:p>
      <w:pPr>
        <w:spacing w:after="0" w:line="11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 series or secure debt securities of a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any series of debt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make any change that does not materially adversely affect the rights of any holder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30" w:lineRule="exact"/>
        <w:rPr>
          <w:sz w:val="20"/>
          <w:szCs w:val="20"/>
          <w:color w:val="auto"/>
        </w:rPr>
      </w:pPr>
    </w:p>
    <w:p>
      <w:pPr>
        <w:ind w:left="660" w:right="20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conform any supplement to the indenture for a series of securities or the securities of a series to the description of securities for such series in the prospectus supplement or offering document with respect to such series;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certain other reasons set forth in any prospectus supplement.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3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 or reduce the amount of, or postpone the date fixed for, the payment of any sinking fund or analogous obligation with respect to any series of debt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or interest, if any, on any debt security (except a rescission of acceleration of the debt securities of any series by the holders of at least a majority in principal amount of the then outstanding debt securities of that series and a waiver of the payment default that resulted from such acceleration);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the principal of, or any interest on, any debt security payable in currency other than that stated in the debt security;</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make any change to certain provisions of the indenture relating to, among other things, the right of holders of debt securities to receive payment of the principal of, and any interest on, those debt securities and to institute suit for the enforcement of any such payment;</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waivers or amendments;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provided that such redemption is made at our option.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such series.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40" w:right="379" w:bottom="1440" w:gutter="0" w:footer="0" w:header="0"/>
        </w:sectPr>
      </w:pPr>
    </w:p>
    <w:bookmarkStart w:id="65" w:name="page66"/>
    <w:bookmarkEnd w:id="65"/>
    <w:p>
      <w:pPr>
        <w:spacing w:after="0" w:line="130" w:lineRule="exact"/>
        <w:rPr>
          <w:sz w:val="20"/>
          <w:szCs w:val="20"/>
          <w:color w:val="auto"/>
        </w:rPr>
      </w:pPr>
    </w:p>
    <w:p>
      <w:pPr>
        <w:ind w:right="1860"/>
        <w:spacing w:after="0" w:line="438" w:lineRule="auto"/>
        <w:rPr>
          <w:sz w:val="20"/>
          <w:szCs w:val="20"/>
          <w:color w:val="auto"/>
        </w:rPr>
      </w:pPr>
      <w:r>
        <w:rPr>
          <w:rFonts w:ascii="Arial" w:cs="Arial" w:eastAsia="Arial" w:hAnsi="Arial"/>
          <w:sz w:val="18"/>
          <w:szCs w:val="18"/>
          <w:color w:val="auto"/>
        </w:rPr>
        <w:t xml:space="preserve">series may rescind an acceleration and its consequences, including any related payment default that resulted from the acceleration. </w:t>
      </w:r>
      <w:r>
        <w:rPr>
          <w:rFonts w:ascii="Arial" w:cs="Arial" w:eastAsia="Arial" w:hAnsi="Arial"/>
          <w:sz w:val="18"/>
          <w:szCs w:val="18"/>
          <w:b w:val="1"/>
          <w:bCs w:val="1"/>
          <w:color w:val="auto"/>
        </w:rPr>
        <w:t>Defeasance of Debt Securities and Certain Covenants in Certain Circumstances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and interest, if any, on and any mandatory sinking fund payments in respect of the debt securities of that series on the stated maturity of those payments in accordance with the terms of the indenture and those debt securities.</w:t>
      </w:r>
    </w:p>
    <w:p>
      <w:pPr>
        <w:spacing w:after="0" w:line="11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16" w:lineRule="exact"/>
        <w:rPr>
          <w:sz w:val="20"/>
          <w:szCs w:val="20"/>
          <w:color w:val="auto"/>
        </w:rPr>
      </w:pPr>
    </w:p>
    <w:p>
      <w:pPr>
        <w:ind w:left="660" w:right="20" w:hanging="328"/>
        <w:spacing w:after="0" w:line="342"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9" w:lineRule="exact"/>
        <w:rPr>
          <w:rFonts w:ascii="Arial" w:cs="Arial" w:eastAsia="Arial" w:hAnsi="Arial"/>
          <w:sz w:val="16"/>
          <w:szCs w:val="16"/>
          <w:color w:val="auto"/>
        </w:rPr>
      </w:pPr>
    </w:p>
    <w:p>
      <w:pPr>
        <w:ind w:left="660" w:right="300" w:hanging="328"/>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171" w:lineRule="exact"/>
        <w:rPr>
          <w:sz w:val="20"/>
          <w:szCs w:val="20"/>
          <w:color w:val="auto"/>
        </w:rPr>
      </w:pPr>
    </w:p>
    <w:p>
      <w:pPr>
        <w:ind w:left="660" w:right="20" w:hanging="328"/>
        <w:spacing w:after="0" w:line="255"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 and</w:t>
      </w:r>
    </w:p>
    <w:p>
      <w:pPr>
        <w:spacing w:after="0" w:line="138" w:lineRule="exact"/>
        <w:rPr>
          <w:rFonts w:ascii="Arial" w:cs="Arial" w:eastAsia="Arial" w:hAnsi="Arial"/>
          <w:sz w:val="18"/>
          <w:szCs w:val="18"/>
          <w:color w:val="auto"/>
        </w:rPr>
      </w:pPr>
    </w:p>
    <w:p>
      <w:pPr>
        <w:ind w:left="660" w:right="22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summarizes the material terms and provisions of the warrants that we may offer under this prospectus, which consist of warrants to purchase common shares, preferred shares, depositary shares, and/or debt securities in one or more series. Warrants may be offered independently or together with common shares, preferred shares, depositary shares, and/or debt securities offered by any prospectus supplement and may be attached to or separate from those securities.</w:t>
      </w:r>
    </w:p>
    <w:p>
      <w:pPr>
        <w:spacing w:after="0" w:line="10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While the terms we have summarized below will generally apply to any future warrants we may offer under this prospectus, we will describe the particular terms of any warrants that we may offer in more detail in the applicable prospectus supplement. The specific terms of any warrants may differ from the description provided below as a result of negotiations with third parties in connection with the issuance of those warrants, as well as for other reasons. Because the terms of any warrants we offer under a prospectus supplement may differ from the terms we describe below, you should rely solely on information in the applicable prospectus supplement if that summary is different from the summary in this prospectus.</w:t>
      </w:r>
    </w:p>
    <w:p>
      <w:pPr>
        <w:spacing w:after="0" w:line="1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will issue the warrants under a warrant agreement, which we will enter into with a warrant agent to be selected by us.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will incorporate by reference into the registration statement of which this prospectus is a part the form of warrant agreement, including a form of warrant certificate, that describes the terms of the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applicable to a particular series of warrants. We urge you to read any applicable prospectus supplement related to the warrants that we sell under this prospectus, as well as the complete warrant agreement that contain the terms of the warrants and defines your rights as a warrant holder.</w:t>
      </w:r>
    </w:p>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will describe in the applicable prospectus supplement the terms relating to a series of warrants. If warrants for the purchase of debt securities are offered, the prospectus supplement will describe the following terms, to the extent applicable:</w:t>
      </w:r>
    </w:p>
    <w:p>
      <w:pPr>
        <w:spacing w:after="0" w:line="116"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currencies in which the warrants are being offered;</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currencies, denominations and terms of the series of debt securities that can be purchased if a holder exercises a warrant;</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and terms of any series of debt securities with which the warrants are being offered and the number of warrants offered with each such debt security;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and after which the holder of the warrants can transfer them separately from the related series of debt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Warrants for the purchase of debt securities will be in registered form only.</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warrants for the purchase of common shares, preferred shares, or depositary shares are offered, the prospectus supplement will describe the following terms, to the extent applicable:</w:t>
      </w:r>
    </w:p>
    <w:p>
      <w:pPr>
        <w:spacing w:after="0" w:line="11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warrants being offered with each common share;</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and after which the holder of the warrants can transfer them separately from the related common shares or preferred shares or the related depositary shares;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of common shares, preferred shares, or depositary shares that can be purchased if a holder exercises the warrant and the price at which those shares may be purchased upon exercise, including, if applicable, any provisions for changes to or adjustments in the exercise price and in the securities or other property receivable upon exercise;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Warrants for the purchase of common shares, preferred shares, or depositary shares will be in registered form only.</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 Until any warrants to purchase depositary shares or common shares or preferred shares are exercised, holders of the warrants will not have any rights of holders of the underlying depositary shares or common shares or preferred shares, including any rights to receive dividends or to exercise any voting rights, except to the extent set forth under “-Warrant Adjustments”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holder of a warrant is entitled to purchase the principal amount of debt securities or number of common shares or preferred shares or depositary shares, as the case may be, at the exercise price described in the applicable prospectus supplement. After the close of business on the day when the right to exercise terminates (or a later date if we extend the time for exercise), unexercised warrants will become void.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deliver to the warrant agent the payment required by the applicable prospectus supplement to purchase the underlying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properly complete and sign the reverse side of the warrant certificate representing the warrants; and</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deliver the warrant certificate representing the warrants to the warrant agent within five business days of the warrant agent receiving payment of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3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debt securities or shares of common shares or preferred shares or depositary shares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applicable prospectus supplement states otherwise, the exercise price of, and the number of securities covered by, a warrant for depositary shares or shares of common shares or preferred shares will be adjusted proportionately if we subdivide or combine our common shares or preferred shares, as applicable. In addition, unless the prospectus supplement states otherwise, if we, without payment:</w:t>
      </w:r>
    </w:p>
    <w:p>
      <w:pPr>
        <w:spacing w:after="0" w:line="130" w:lineRule="exact"/>
        <w:rPr>
          <w:sz w:val="20"/>
          <w:szCs w:val="20"/>
          <w:color w:val="auto"/>
        </w:rPr>
      </w:pPr>
    </w:p>
    <w:p>
      <w:pPr>
        <w:ind w:left="660" w:right="20" w:hanging="328"/>
        <w:spacing w:after="0" w:line="263"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issue shares of common shares or preferred shares or other securities convertible into or exchangeable for common shares or preferred shares, or any rights to subscribe for, purchase or otherwise acquire any of the foregoing, as a dividend or distribution to all or substantially all holders of our common shares or preferred shares;</w:t>
      </w:r>
    </w:p>
    <w:p>
      <w:pPr>
        <w:spacing w:after="0" w:line="12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 any cash to all or substantially all holders of our common shares or preferred shares, other than a cash dividend paid out of our current or retained earnings;</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issue any evidence of our indebtedness or rights to subscribe for or purchase our indebtedness to all or substantially all holders of our common shares or preferred shares; or</w:t>
      </w:r>
    </w:p>
    <w:p>
      <w:pPr>
        <w:spacing w:after="0" w:line="116" w:lineRule="exact"/>
        <w:rPr>
          <w:rFonts w:ascii="Arial" w:cs="Arial" w:eastAsia="Arial" w:hAnsi="Arial"/>
          <w:sz w:val="18"/>
          <w:szCs w:val="18"/>
          <w:color w:val="auto"/>
        </w:rPr>
      </w:pPr>
    </w:p>
    <w:p>
      <w:pPr>
        <w:ind w:left="660" w:right="180" w:hanging="328"/>
        <w:spacing w:after="0" w:line="308"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issue common shares, preferred shares or additional shares or other securities or property to all or substantially all holders of our common shares or preferred shares by way of spinoff, split-up, reclassification, combination of shares or similar corporate rearrangement;</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then the holders of common share warrants, preferred share warrants, or depositary share warrants will be entitled to receive upon exercise of the warrants, in addition to the securities otherwise receivable upon exercise of the warrants and without paying any additional consideration, the amount of shares and other securities and property such holders would have been entitled to receive had they held the common shares or preferred shares or depositary shares issuable under the warrants on the dates on which holders of those securities received or became entitled to receive such additional shares and other securities and property.</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as stated above, the exercise price and number of securities covered by a warrant for common shares, preferred shares, or depositary shares,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share warrants, preferred share warrants or depositary share warrants may have additional rights under the following circumstances:</w:t>
      </w:r>
    </w:p>
    <w:p>
      <w:pPr>
        <w:spacing w:after="0" w:line="19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shares or preferred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certain share exchanges, mergers, or similar transactions involving us that result in changes of the common shares or preferred shares; or</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one of the above transactions occurs and holders of our common shares, preferred shares, or depositary shares are entitled to receive shares, securities or other property with respect to or in exchange for their securities, the holders of the common share warrants, preferred share warrants, or depositary share warrants then outstanding, as applicable, will be entitled to receive upon exercise of their warrants the kind and amount of shares and other securities or property that they would have received upon the applicable transaction if they had exercised their warrants immediately before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1440" w:right="439" w:bottom="1440" w:gutter="0" w:footer="0" w:header="0"/>
        </w:sectPr>
      </w:pPr>
    </w:p>
    <w:bookmarkStart w:id="70" w:name="page71"/>
    <w:bookmarkEnd w:id="7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the general features of the rights that we may offer under this prospectus. We may issue rights to our shareholders to purchase our common shares and/or any of the other securities offered hereby. Each series of rights will be issued under a separate rights agreement to be entered into between us and a bank or trust company, as rights agent. When we issue rights, we will provide the specific terms of the rights and the applicable rights agreement in a prospectus supplement. Because the terms of any rights we offer under a prospectus supplement may differ from the terms we describe below, you should rely solely on information in the applicable prospectus supplement if that summary is different from the summary in this prospectus. We will incorporate by reference into the registration statement of which this prospectus is a part the form of rights agreement that describes the terms of the series of rights we are offering before the issuance of the related series of rights. The applicable prospectus supplement relating to any rights will describe the terms of the offered rights, including, where applicable, the following:</w:t>
      </w:r>
    </w:p>
    <w:p>
      <w:pPr>
        <w:spacing w:after="0" w:line="12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for determining the persons entitled to participate in the rights distribution;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number or amount of underlying securities purchasable upon exercise of the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rights issued to each shareholder and the number of rights outstanding,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anti-dilution provisions of the rights, if 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other terms of the rights, including terms, procedures and limitations relating to the distribution, exchange and exercise of the rights.</w:t>
      </w:r>
    </w:p>
    <w:p>
      <w:pPr>
        <w:spacing w:after="0" w:line="18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underwriting arrangements,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description summarizes the general features of the purchase contracts that we may offer under this prospectus. While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or an unaffiliated entity’s, securities at a future date or dates. Alternatively, the purchase contracts may obligate us to purchase from holders, and obligate holders to sell to us, a specific or varying number of our securities.</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116" w:lineRule="exact"/>
        <w:rPr>
          <w:sz w:val="20"/>
          <w:szCs w:val="20"/>
          <w:color w:val="auto"/>
        </w:rPr>
      </w:pPr>
    </w:p>
    <w:p>
      <w:pPr>
        <w:ind w:left="660" w:right="70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116"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the purchase contracts are issued separately, or as a part of units each consisting of a purchase contract and one or more of our other securities or securities of an unaffiliated entity, including U.S. Treasury securities, securing the holder’s obligations under the purchase contract;</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requirement for us to make periodic payments to holders or vice versa, and whether the payments are unsecured or pre-funded;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71"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purchase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5"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may issue units comprising two or more securities described in this prospectus in any combination. For example, we might issue units consisting of a combination of debt securities and warrants to purchase common shares.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when filed by us in a future Exchange Act report or as an amendment to the Registration Statement that this prospectus forms a part of, see “Where You Can Find Additional Information.”</w:t>
      </w:r>
    </w:p>
    <w:p>
      <w:pPr>
        <w:spacing w:after="0" w:line="1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16" w:lineRule="exact"/>
        <w:rPr>
          <w:sz w:val="20"/>
          <w:szCs w:val="20"/>
          <w:color w:val="auto"/>
        </w:rPr>
      </w:pPr>
    </w:p>
    <w:p>
      <w:pPr>
        <w:ind w:left="660" w:right="28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440" w:right="379" w:bottom="1440" w:gutter="0" w:footer="0" w:header="0"/>
        </w:sectPr>
      </w:pPr>
    </w:p>
    <w:bookmarkStart w:id="73" w:name="page74"/>
    <w:bookmarkEnd w:id="73"/>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SELLING SHAREHOLDERS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prospectus relates to the possible resale of an undetermined number of common shares from time to time by certain selling shareholders to be named in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1440" w:right="499" w:bottom="1440" w:gutter="0" w:footer="0" w:header="0"/>
        </w:sectPr>
      </w:pPr>
    </w:p>
    <w:bookmarkStart w:id="74" w:name="page75"/>
    <w:bookmarkEnd w:id="7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or any selling shareholder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30"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Each prospectus will indicate if the securities offered thereby will be listed on any securities exchange.</w:t>
      </w:r>
    </w:p>
    <w:p>
      <w:pPr>
        <w:spacing w:after="0" w:line="17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the applicable selling shareholder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(the “Securities Act”), and any discounts and commissions received by them and any profit realized by them on resale of the securities may be deemed to be underwriting discounts and commissions. We or any selling shareholder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4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option to purchase additional securities,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stabilize or maintain the market price of the securities at a level above that which might otherwise prevail in the open market. These transactions may be discontinued at any time.</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may engage in at-the-market offerings into an existing trading market in accordance with Rule 415(a)(4) under the Securities Act. In addition, we or any selling shareholder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our common shares. In addition, we or any selling shareholder may loan or pledge securities to a financial institution or other third party that in turn may sell the securities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VALIDITY OF SECURITIES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indicated in the applicable prospectus supplement, the validity of the securities in respect of which this prospectus is being delivered and certain other matters of British Virgin Islands law will be passed upon for us by Maples and Calder, our special British Virgin Islands counsel, and the validity of the depositary shares, debt securities, warrants, rights, purchase contracts and units and certain other matters of New York law will be passed upon for us by Sullivan &amp; Cromwell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1440" w:right="459" w:bottom="1440" w:gutter="0" w:footer="0" w:header="0"/>
        </w:sectPr>
      </w:pPr>
    </w:p>
    <w:bookmarkStart w:id="77" w:name="page78"/>
    <w:bookmarkEnd w:id="7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2022,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2874645</wp:posOffset>
            </wp:positionV>
            <wp:extent cx="280289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8028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80"/>
        <w:spacing w:after="0"/>
        <w:rPr>
          <w:sz w:val="20"/>
          <w:szCs w:val="20"/>
          <w:color w:val="auto"/>
        </w:rPr>
      </w:pPr>
      <w:r>
        <w:rPr>
          <w:rFonts w:ascii="Arial" w:cs="Arial" w:eastAsia="Arial" w:hAnsi="Arial"/>
          <w:sz w:val="13"/>
          <w:szCs w:val="13"/>
          <w:color w:val="auto"/>
        </w:rPr>
        <w:t>.</w:t>
      </w:r>
    </w:p>
    <w:p>
      <w:pPr>
        <w:sectPr>
          <w:pgSz w:w="11900" w:h="16838" w:orient="portrait"/>
          <w:cols w:equalWidth="0" w:num="1">
            <w:col w:w="9019"/>
          </w:cols>
          <w:pgMar w:left="1440" w:top="1440"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i w:val="1"/>
          <w:iCs w:val="1"/>
          <w:color w:val="auto"/>
        </w:rPr>
        <w:t>Biohaven Ltd.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Up to $150,000,000</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i w:val="1"/>
          <w:iCs w:val="1"/>
          <w:color w:val="auto"/>
        </w:rPr>
        <w:t>Common Shares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PROSPECTUS SUPPLEMENT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October 2, 2023</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J.P. Morgan</w:t>
      </w:r>
    </w:p>
    <w:p>
      <w:pPr>
        <w:sectPr>
          <w:pgSz w:w="11900" w:h="16838" w:orient="portrait"/>
          <w:cols w:equalWidth="0" w:num="1">
            <w:col w:w="9019"/>
          </w:cols>
          <w:pgMar w:left="1440" w:top="1440" w:right="1440" w:bottom="1440" w:gutter="0" w:footer="0" w:header="0"/>
          <w:type w:val="continuous"/>
        </w:sectPr>
      </w:pPr>
    </w:p>
    <w:bookmarkStart w:id="79" w:name="page80"/>
    <w:bookmarkEnd w:id="79"/>
    <w:p>
      <w:pPr>
        <w:ind w:left="10360"/>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Calculation of Filing Fee Tables</w:t>
      </w:r>
    </w:p>
    <w:p>
      <w:pPr>
        <w:spacing w:after="0" w:line="226"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424(b)(5)</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(Form Type)</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Biohaven Ltd.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(Exact Name of Registrant as Specified in its Charter)</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Table 1: Newly Registered and Carry Forward Securities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100" w:type="dxa"/>
            <w:vAlign w:val="bottom"/>
            <w:tcBorders>
              <w:top w:val="single" w:sz="8" w:color="auto"/>
              <w:left w:val="single" w:sz="8" w:color="auto"/>
              <w:right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460" w:type="dxa"/>
            <w:vAlign w:val="bottom"/>
            <w:tcBorders>
              <w:top w:val="single" w:sz="8" w:color="auto"/>
              <w:right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Fee</w:t>
            </w:r>
          </w:p>
        </w:tc>
        <w:tc>
          <w:tcPr>
            <w:tcW w:w="1080" w:type="dxa"/>
            <w:vAlign w:val="bottom"/>
            <w:tcBorders>
              <w:top w:val="single" w:sz="8" w:color="auto"/>
              <w:right w:val="single" w:sz="8" w:color="auto"/>
            </w:tcBorders>
          </w:tcPr>
          <w:p>
            <w:pPr>
              <w:spacing w:after="0"/>
              <w:rPr>
                <w:sz w:val="13"/>
                <w:szCs w:val="13"/>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Proposed Maximum</w:t>
            </w:r>
          </w:p>
        </w:tc>
        <w:tc>
          <w:tcPr>
            <w:tcW w:w="1460" w:type="dxa"/>
            <w:vAlign w:val="bottom"/>
            <w:tcBorders>
              <w:top w:val="single" w:sz="8" w:color="auto"/>
              <w:right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spacing w:after="0"/>
              <w:rPr>
                <w:sz w:val="13"/>
                <w:szCs w:val="13"/>
                <w:color w:val="auto"/>
              </w:rPr>
            </w:pPr>
          </w:p>
        </w:tc>
        <w:tc>
          <w:tcPr>
            <w:tcW w:w="14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ind w:right="13"/>
              <w:spacing w:after="0" w:line="135" w:lineRule="exact"/>
              <w:rPr>
                <w:sz w:val="20"/>
                <w:szCs w:val="20"/>
                <w:color w:val="auto"/>
              </w:rPr>
            </w:pPr>
            <w:r>
              <w:rPr>
                <w:rFonts w:ascii="Arial" w:cs="Arial" w:eastAsia="Arial" w:hAnsi="Arial"/>
                <w:sz w:val="13"/>
                <w:szCs w:val="13"/>
                <w:color w:val="auto"/>
                <w:w w:val="93"/>
              </w:rPr>
              <w:t>Security</w:t>
            </w:r>
          </w:p>
        </w:tc>
        <w:tc>
          <w:tcPr>
            <w:tcW w:w="146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color w:val="auto"/>
                <w:w w:val="96"/>
              </w:rPr>
              <w:t>Calculation</w:t>
            </w:r>
          </w:p>
        </w:tc>
        <w:tc>
          <w:tcPr>
            <w:tcW w:w="10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color w:val="auto"/>
                <w:w w:val="98"/>
              </w:rPr>
              <w:t>Amount</w:t>
            </w:r>
          </w:p>
        </w:tc>
        <w:tc>
          <w:tcPr>
            <w:tcW w:w="148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vMerge w:val="restart"/>
          </w:tcPr>
          <w:p>
            <w:pPr>
              <w:jc w:val="right"/>
              <w:ind w:right="97"/>
              <w:spacing w:after="0" w:line="135" w:lineRule="exact"/>
              <w:rPr>
                <w:sz w:val="20"/>
                <w:szCs w:val="20"/>
                <w:color w:val="auto"/>
              </w:rPr>
            </w:pPr>
            <w:r>
              <w:rPr>
                <w:rFonts w:ascii="Arial" w:cs="Arial" w:eastAsia="Arial" w:hAnsi="Arial"/>
                <w:sz w:val="13"/>
                <w:szCs w:val="13"/>
                <w:color w:val="auto"/>
              </w:rPr>
              <w:t>Maximum Aggregate</w:t>
            </w:r>
          </w:p>
        </w:tc>
        <w:tc>
          <w:tcPr>
            <w:tcW w:w="108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color w:val="auto"/>
                <w:w w:val="97"/>
              </w:rPr>
              <w:t>Amount of</w:t>
            </w: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5"/>
              </w:rPr>
              <w:t>Security Class Title</w:t>
            </w:r>
          </w:p>
        </w:tc>
        <w:tc>
          <w:tcPr>
            <w:tcW w:w="108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3"/>
                <w:szCs w:val="13"/>
                <w:color w:val="auto"/>
                <w:w w:val="94"/>
              </w:rPr>
              <w:t>Offering Price Per</w:t>
            </w:r>
          </w:p>
        </w:tc>
        <w:tc>
          <w:tcPr>
            <w:tcW w:w="146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restart"/>
          </w:tcPr>
          <w:p>
            <w:pPr>
              <w:ind w:left="300"/>
              <w:spacing w:after="0" w:line="133" w:lineRule="exact"/>
              <w:rPr>
                <w:sz w:val="20"/>
                <w:szCs w:val="20"/>
                <w:color w:val="auto"/>
              </w:rPr>
            </w:pPr>
            <w:r>
              <w:rPr>
                <w:rFonts w:ascii="Arial" w:cs="Arial" w:eastAsia="Arial" w:hAnsi="Arial"/>
                <w:sz w:val="13"/>
                <w:szCs w:val="13"/>
                <w:color w:val="auto"/>
              </w:rPr>
              <w:t>Fee Rate</w:t>
            </w:r>
          </w:p>
        </w:tc>
        <w:tc>
          <w:tcPr>
            <w:tcW w:w="1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100" w:type="dxa"/>
            <w:vAlign w:val="bottom"/>
            <w:tcBorders>
              <w:left w:val="single" w:sz="8" w:color="auto"/>
              <w:righ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6"/>
              </w:rPr>
              <w:t>Type</w:t>
            </w:r>
          </w:p>
        </w:tc>
        <w:tc>
          <w:tcPr>
            <w:tcW w:w="146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or Carry</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Registered</w:t>
            </w:r>
          </w:p>
        </w:tc>
        <w:tc>
          <w:tcPr>
            <w:tcW w:w="148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jc w:val="right"/>
              <w:ind w:right="237"/>
              <w:spacing w:after="0" w:line="65" w:lineRule="exact"/>
              <w:rPr>
                <w:sz w:val="20"/>
                <w:szCs w:val="20"/>
                <w:color w:val="auto"/>
              </w:rPr>
            </w:pPr>
            <w:r>
              <w:rPr>
                <w:rFonts w:ascii="Arial" w:cs="Arial" w:eastAsia="Arial" w:hAnsi="Arial"/>
                <w:sz w:val="7"/>
                <w:szCs w:val="7"/>
                <w:color w:val="auto"/>
              </w:rPr>
              <w:t>(1)</w:t>
            </w:r>
          </w:p>
        </w:tc>
        <w:tc>
          <w:tcPr>
            <w:tcW w:w="10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3"/>
                <w:szCs w:val="13"/>
                <w:color w:val="auto"/>
                <w:w w:val="89"/>
              </w:rPr>
              <w:t>Registration Fee</w:t>
            </w:r>
            <w:r>
              <w:rPr>
                <w:rFonts w:ascii="Arial" w:cs="Arial" w:eastAsia="Arial" w:hAnsi="Arial"/>
                <w:sz w:val="17"/>
                <w:szCs w:val="17"/>
                <w:color w:val="auto"/>
                <w:w w:val="89"/>
                <w:vertAlign w:val="superscript"/>
              </w:rPr>
              <w:t>(1)</w:t>
            </w: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rPr>
              <w:t>Unit</w:t>
            </w:r>
          </w:p>
        </w:tc>
        <w:tc>
          <w:tcPr>
            <w:tcW w:w="1460" w:type="dxa"/>
            <w:vAlign w:val="bottom"/>
            <w:tcBorders>
              <w:right w:val="single" w:sz="8" w:color="auto"/>
            </w:tcBorders>
          </w:tcPr>
          <w:p>
            <w:pPr>
              <w:jc w:val="right"/>
              <w:ind w:right="337"/>
              <w:spacing w:after="0" w:line="122" w:lineRule="exact"/>
              <w:rPr>
                <w:sz w:val="20"/>
                <w:szCs w:val="20"/>
                <w:color w:val="auto"/>
              </w:rPr>
            </w:pPr>
            <w:r>
              <w:rPr>
                <w:rFonts w:ascii="Arial" w:cs="Arial" w:eastAsia="Arial" w:hAnsi="Arial"/>
                <w:sz w:val="13"/>
                <w:szCs w:val="13"/>
                <w:color w:val="auto"/>
              </w:rPr>
              <w:t>Offering Price</w:t>
            </w:r>
          </w:p>
        </w:tc>
        <w:tc>
          <w:tcPr>
            <w:tcW w:w="10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Forward Rule</w:t>
            </w:r>
          </w:p>
        </w:tc>
        <w:tc>
          <w:tcPr>
            <w:tcW w:w="10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2"/>
          </w:tcPr>
          <w:p>
            <w:pPr>
              <w:jc w:val="center"/>
              <w:ind w:right="593"/>
              <w:spacing w:after="0"/>
              <w:rPr>
                <w:sz w:val="20"/>
                <w:szCs w:val="20"/>
                <w:color w:val="auto"/>
              </w:rPr>
            </w:pPr>
            <w:r>
              <w:rPr>
                <w:rFonts w:ascii="Arial" w:cs="Arial" w:eastAsia="Arial" w:hAnsi="Arial"/>
                <w:sz w:val="13"/>
                <w:szCs w:val="13"/>
                <w:b w:val="1"/>
                <w:bCs w:val="1"/>
                <w:color w:val="auto"/>
                <w:w w:val="93"/>
              </w:rPr>
              <w:t>Newly Registered Securities</w:t>
            </w:r>
          </w:p>
        </w:tc>
        <w:tc>
          <w:tcPr>
            <w:tcW w:w="1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0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7"/>
              </w:rPr>
              <w:t>Fees to be</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Equity</w:t>
            </w:r>
          </w:p>
        </w:tc>
        <w:tc>
          <w:tcPr>
            <w:tcW w:w="14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2"/>
              </w:rPr>
              <w:t>Common Shares, no</w:t>
            </w:r>
          </w:p>
        </w:tc>
        <w:tc>
          <w:tcPr>
            <w:tcW w:w="10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2"/>
              </w:rPr>
              <w:t>457(o) and</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$150,000,000</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0.00014760</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$22,140.00</w:t>
            </w:r>
          </w:p>
        </w:tc>
        <w:tc>
          <w:tcPr>
            <w:tcW w:w="0" w:type="dxa"/>
            <w:vAlign w:val="bottom"/>
          </w:tcPr>
          <w:p>
            <w:pPr>
              <w:spacing w:after="0"/>
              <w:rPr>
                <w:sz w:val="1"/>
                <w:szCs w:val="1"/>
                <w:color w:val="auto"/>
              </w:rPr>
            </w:pPr>
          </w:p>
        </w:tc>
      </w:tr>
      <w:tr>
        <w:trPr>
          <w:trHeight w:val="105"/>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Paid</w:t>
            </w:r>
          </w:p>
        </w:tc>
        <w:tc>
          <w:tcPr>
            <w:tcW w:w="104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par value per share</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457(r)</w:t>
            </w:r>
          </w:p>
        </w:tc>
        <w:tc>
          <w:tcPr>
            <w:tcW w:w="10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1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vMerge w:val="continue"/>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10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82"/>
              </w:rPr>
              <w:t>Fees</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Previously</w:t>
            </w:r>
          </w:p>
        </w:tc>
        <w:tc>
          <w:tcPr>
            <w:tcW w:w="104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Paid</w:t>
            </w:r>
          </w:p>
        </w:tc>
        <w:tc>
          <w:tcPr>
            <w:tcW w:w="10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2"/>
          </w:tcPr>
          <w:p>
            <w:pPr>
              <w:jc w:val="center"/>
              <w:ind w:right="593"/>
              <w:spacing w:after="0"/>
              <w:rPr>
                <w:sz w:val="20"/>
                <w:szCs w:val="20"/>
                <w:color w:val="auto"/>
              </w:rPr>
            </w:pPr>
            <w:r>
              <w:rPr>
                <w:rFonts w:ascii="Arial" w:cs="Arial" w:eastAsia="Arial" w:hAnsi="Arial"/>
                <w:sz w:val="13"/>
                <w:szCs w:val="13"/>
                <w:b w:val="1"/>
                <w:bCs w:val="1"/>
                <w:color w:val="auto"/>
                <w:w w:val="96"/>
              </w:rPr>
              <w:t>Carry Forward Securities</w:t>
            </w:r>
          </w:p>
        </w:tc>
        <w:tc>
          <w:tcPr>
            <w:tcW w:w="1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00" w:type="dxa"/>
            <w:vAlign w:val="bottom"/>
            <w:tcBorders>
              <w:left w:val="single" w:sz="8" w:color="auto"/>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4"/>
              </w:rPr>
              <w:t>Carry</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1"/>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6"/>
              </w:rPr>
              <w:t>Forward</w:t>
            </w:r>
          </w:p>
        </w:tc>
        <w:tc>
          <w:tcPr>
            <w:tcW w:w="104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Securities</w:t>
            </w:r>
          </w:p>
        </w:tc>
        <w:tc>
          <w:tcPr>
            <w:tcW w:w="10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gridSpan w:val="2"/>
          </w:tcPr>
          <w:p>
            <w:pPr>
              <w:jc w:val="right"/>
              <w:ind w:right="13"/>
              <w:spacing w:after="0"/>
              <w:rPr>
                <w:sz w:val="20"/>
                <w:szCs w:val="20"/>
                <w:color w:val="auto"/>
              </w:rPr>
            </w:pPr>
            <w:r>
              <w:rPr>
                <w:rFonts w:ascii="Arial" w:cs="Arial" w:eastAsia="Arial" w:hAnsi="Arial"/>
                <w:sz w:val="13"/>
                <w:szCs w:val="13"/>
                <w:color w:val="auto"/>
              </w:rPr>
              <w:t>Total Offering Amounts</w:t>
            </w:r>
          </w:p>
        </w:tc>
        <w:tc>
          <w:tcPr>
            <w:tcW w:w="14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$150,000,000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0.00014760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$22,140.00</w:t>
            </w: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gridSpan w:val="2"/>
          </w:tcPr>
          <w:p>
            <w:pPr>
              <w:jc w:val="right"/>
              <w:ind w:right="13"/>
              <w:spacing w:after="0"/>
              <w:rPr>
                <w:sz w:val="20"/>
                <w:szCs w:val="20"/>
                <w:color w:val="auto"/>
              </w:rPr>
            </w:pPr>
            <w:r>
              <w:rPr>
                <w:rFonts w:ascii="Arial" w:cs="Arial" w:eastAsia="Arial" w:hAnsi="Arial"/>
                <w:sz w:val="13"/>
                <w:szCs w:val="13"/>
                <w:color w:val="auto"/>
              </w:rPr>
              <w:t>Total Fees Previously Paid</w:t>
            </w:r>
          </w:p>
        </w:tc>
        <w:tc>
          <w:tcPr>
            <w:tcW w:w="14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Total Fee Offsets</w:t>
            </w:r>
          </w:p>
        </w:tc>
        <w:tc>
          <w:tcPr>
            <w:tcW w:w="14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Net Fee Due</w:t>
            </w:r>
          </w:p>
        </w:tc>
        <w:tc>
          <w:tcPr>
            <w:tcW w:w="14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$22,140.00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0" w:firstLine="8"/>
        <w:spacing w:after="0" w:line="277" w:lineRule="auto"/>
        <w:tabs>
          <w:tab w:leader="none" w:pos="204"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maximum aggregate offering price is being used to calculate the registration fee pursuant to Rule 457(o) under the Securities Act of 1933, as amended (the “Securities Act”). In accordance with Rule 457(r) under the Securities Act, the registrant initially deferred payment of all of the registration fee for the Registration Statement on Form S-3ASR (File No. 333-[l]) filed by the registrant on October 2, 2023 (the “Registration Statement”).</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decimal"/>
      <w:start w:val="1"/>
    </w:lvl>
    <w:lvl w:ilvl="1">
      <w:lvlJc w:val="left"/>
      <w:lvlText w:val="•"/>
      <w:numFmt w:val="bullet"/>
      <w:start w:val="1"/>
    </w:lvl>
  </w:abstractNum>
  <w:abstractNum w:abstractNumId="13">
    <w:nsid w:val="2D517796"/>
    <w:multiLevelType w:val="hybridMultilevel"/>
    <w:lvl w:ilvl="0">
      <w:lvlJc w:val="left"/>
      <w:lvlText w:val="(%1)"/>
      <w:numFmt w:val="decimal"/>
      <w:start w:val="4"/>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lowerLetter"/>
      <w:start w:val="2"/>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lowerRoman"/>
      <w:start w:val="2"/>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lowerLetter"/>
      <w:start w:val="1"/>
    </w:lvl>
    <w:lvl w:ilvl="1">
      <w:lvlJc w:val="left"/>
      <w:lvlText w:val="(%2)"/>
      <w:numFmt w:val="lowerRoman"/>
      <w:start w:val="1"/>
    </w:lvl>
  </w:abstractNum>
  <w:abstractNum w:abstractNumId="30">
    <w:nsid w:val="32FFF902"/>
    <w:multiLevelType w:val="hybridMultilevel"/>
    <w:lvl w:ilvl="0">
      <w:lvlJc w:val="left"/>
      <w:lvlText w:val="(%1)"/>
      <w:numFmt w:val="lowerRoman"/>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lowerLetter"/>
      <w:start w:val="4"/>
    </w:lvl>
    <w:lvl w:ilvl="1">
      <w:lvlJc w:val="left"/>
      <w:lvlText w:val="%2."/>
      <w:numFmt w:val="lowerRoman"/>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jpe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jpeg"/><Relationship Id="rId14" Type="http://schemas.openxmlformats.org/officeDocument/2006/relationships/hyperlink" Target="https://www.sec.gov/ix?doc=/Archives/edgar/data/0001935979/000193597923000009/bhvn-20221231.htm" TargetMode="External"/><Relationship Id="rId15" Type="http://schemas.openxmlformats.org/officeDocument/2006/relationships/hyperlink" Target="https://www.sec.gov/ix?doc=/Archives/edgar/data/0001935979/000193597923000029/bhvn-20230331.htm" TargetMode="External"/><Relationship Id="rId16" Type="http://schemas.openxmlformats.org/officeDocument/2006/relationships/hyperlink" Target="https://www.sec.gov/ix?doc=/Archives/edgar/data/0001935979/000193597923000052/bhvn-20230630.htm" TargetMode="External"/><Relationship Id="rId17" Type="http://schemas.openxmlformats.org/officeDocument/2006/relationships/hyperlink" Target="https://www.sec.gov/ix?doc=/Archives/edgar/data/0001935979/000193597923000019/bhvn-20230502.htm" TargetMode="External"/><Relationship Id="rId18" Type="http://schemas.openxmlformats.org/officeDocument/2006/relationships/hyperlink" Target="https://www.sec.gov/Archives/edgar/data/1935979/000162828022025178/a2022biohavenresearchltd-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2023-10-02T16:21:19Z</dcterms:created>
  <dcterms:modified xsi:type="dcterms:W3CDTF">2023-10-02T16:21:19Z</dcterms:modified>
</cp:coreProperties>
</file>