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6995160" cy="5854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85406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738"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Clark George C.</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BIOHAVEN LTD.</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215 CHURCH STREET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Biohaven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BHVN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01/05/2025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593"/>
        <w:spacing w:after="0"/>
        <w:rPr>
          <w:sz w:val="20"/>
          <w:szCs w:val="20"/>
          <w:color w:val="auto"/>
        </w:rPr>
      </w:pPr>
      <w:r>
        <w:rPr>
          <w:rFonts w:ascii="Times New Roman" w:cs="Times New Roman" w:eastAsia="Times New Roman" w:hAnsi="Times New Roman"/>
          <w:sz w:val="17"/>
          <w:szCs w:val="17"/>
          <w:color w:val="0000FF"/>
        </w:rPr>
        <w:t>VP, Chief Accounting Officer</w:t>
      </w:r>
    </w:p>
    <w:p>
      <w:pPr>
        <w:spacing w:after="0" w:line="387" w:lineRule="exact"/>
        <w:rPr>
          <w:sz w:val="24"/>
          <w:szCs w:val="24"/>
          <w:color w:val="auto"/>
        </w:rPr>
      </w:pPr>
    </w:p>
    <w:p>
      <w:pPr>
        <w:sectPr>
          <w:pgSz w:w="11900" w:h="16838" w:orient="portrait"/>
          <w:cols w:equalWidth="0" w:num="3">
            <w:col w:w="3180" w:space="720"/>
            <w:col w:w="3107" w:space="720"/>
            <w:col w:w="3353"/>
          </w:cols>
          <w:pgMar w:left="460" w:top="216" w:right="359" w:bottom="738"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40" w:type="dxa"/>
            <w:vAlign w:val="bottom"/>
            <w:gridSpan w:val="7"/>
          </w:tcPr>
          <w:p>
            <w:pPr>
              <w:jc w:val="right"/>
              <w:ind w:right="278"/>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HAVEN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CT</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06510</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52"/>
              <w:spacing w:after="0"/>
              <w:rPr>
                <w:sz w:val="20"/>
                <w:szCs w:val="20"/>
                <w:color w:val="auto"/>
              </w:rPr>
            </w:pPr>
            <w:r>
              <w:rPr>
                <w:rFonts w:ascii="Times New Roman" w:cs="Times New Roman" w:eastAsia="Times New Roman" w:hAnsi="Times New Roman"/>
                <w:sz w:val="17"/>
                <w:szCs w:val="17"/>
                <w:color w:val="0000FF"/>
                <w:w w:val="98"/>
              </w:rPr>
              <w:t>01/05/2025</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2,500</w:t>
            </w:r>
          </w:p>
        </w:tc>
        <w:tc>
          <w:tcPr>
            <w:tcW w:w="640" w:type="dxa"/>
            <w:vAlign w:val="bottom"/>
            <w:tcBorders>
              <w:bottom w:val="single" w:sz="8" w:color="2C2C2C"/>
            </w:tcBorders>
          </w:tcPr>
          <w:p>
            <w:pPr>
              <w:jc w:val="right"/>
              <w:ind w:right="118"/>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right="3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1"/>
              </w:rPr>
              <w:t>66,168</w:t>
            </w:r>
            <w:r>
              <w:rPr>
                <w:rFonts w:ascii="Times New Roman" w:cs="Times New Roman" w:eastAsia="Times New Roman" w:hAnsi="Times New Roman"/>
                <w:sz w:val="21"/>
                <w:szCs w:val="21"/>
                <w:color w:val="008000"/>
                <w:w w:val="91"/>
                <w:vertAlign w:val="superscript"/>
              </w:rPr>
              <w:t>(1)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652"/>
              <w:spacing w:after="0"/>
              <w:rPr>
                <w:sz w:val="20"/>
                <w:szCs w:val="20"/>
                <w:color w:val="auto"/>
              </w:rPr>
            </w:pPr>
            <w:r>
              <w:rPr>
                <w:rFonts w:ascii="Times New Roman" w:cs="Times New Roman" w:eastAsia="Times New Roman" w:hAnsi="Times New Roman"/>
                <w:sz w:val="17"/>
                <w:szCs w:val="17"/>
                <w:color w:val="0000FF"/>
                <w:w w:val="98"/>
              </w:rPr>
              <w:t>01/05/2025</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87"/>
              </w:rPr>
              <w:t>1,117</w:t>
            </w:r>
            <w:r>
              <w:rPr>
                <w:rFonts w:ascii="Times New Roman" w:cs="Times New Roman" w:eastAsia="Times New Roman" w:hAnsi="Times New Roman"/>
                <w:sz w:val="21"/>
                <w:szCs w:val="21"/>
                <w:color w:val="008000"/>
                <w:w w:val="87"/>
                <w:vertAlign w:val="superscript"/>
              </w:rPr>
              <w:t>(2)</w:t>
            </w:r>
          </w:p>
        </w:tc>
        <w:tc>
          <w:tcPr>
            <w:tcW w:w="640" w:type="dxa"/>
            <w:vAlign w:val="bottom"/>
            <w:tcBorders>
              <w:bottom w:val="single" w:sz="8" w:color="2C2C2C"/>
            </w:tcBorders>
          </w:tcPr>
          <w:p>
            <w:pPr>
              <w:jc w:val="right"/>
              <w:ind w:right="118"/>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38.64</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1"/>
              </w:rPr>
              <w:t>65,051</w:t>
            </w:r>
            <w:r>
              <w:rPr>
                <w:rFonts w:ascii="Times New Roman" w:cs="Times New Roman" w:eastAsia="Times New Roman" w:hAnsi="Times New Roman"/>
                <w:sz w:val="21"/>
                <w:szCs w:val="21"/>
                <w:color w:val="008000"/>
                <w:w w:val="91"/>
                <w:vertAlign w:val="superscript"/>
              </w:rPr>
              <w:t>(1)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3,000</w:t>
            </w:r>
          </w:p>
        </w:tc>
        <w:tc>
          <w:tcPr>
            <w:tcW w:w="26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IRA</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620" w:type="dxa"/>
            <w:vAlign w:val="bottom"/>
          </w:tcPr>
          <w:p>
            <w:pPr>
              <w:jc w:val="center"/>
              <w:ind w:left="10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38.64</w:t>
            </w:r>
          </w:p>
        </w:tc>
        <w:tc>
          <w:tcPr>
            <w:tcW w:w="14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01/05/2025</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center"/>
              <w:ind w:right="396"/>
              <w:spacing w:after="0"/>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30,000</w:t>
            </w:r>
          </w:p>
        </w:tc>
        <w:tc>
          <w:tcPr>
            <w:tcW w:w="42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01/05/2035</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color w:val="0000FF"/>
                <w:w w:val="98"/>
              </w:rPr>
              <w:t>30,000</w:t>
            </w:r>
          </w:p>
        </w:tc>
        <w:tc>
          <w:tcPr>
            <w:tcW w:w="60" w:type="dxa"/>
            <w:vAlign w:val="bottom"/>
          </w:tcPr>
          <w:p>
            <w:pPr>
              <w:spacing w:after="0"/>
              <w:rPr>
                <w:sz w:val="16"/>
                <w:szCs w:val="16"/>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tcPr>
          <w:p>
            <w:pPr>
              <w:jc w:val="center"/>
              <w:ind w:left="181"/>
              <w:spacing w:after="0"/>
              <w:rPr>
                <w:sz w:val="20"/>
                <w:szCs w:val="20"/>
                <w:color w:val="auto"/>
              </w:rPr>
            </w:pPr>
            <w:r>
              <w:rPr>
                <w:rFonts w:ascii="Times New Roman" w:cs="Times New Roman" w:eastAsia="Times New Roman" w:hAnsi="Times New Roman"/>
                <w:sz w:val="13"/>
                <w:szCs w:val="13"/>
                <w:color w:val="0000FF"/>
              </w:rPr>
              <w:t>30,000</w:t>
            </w:r>
          </w:p>
        </w:tc>
        <w:tc>
          <w:tcPr>
            <w:tcW w:w="260" w:type="dxa"/>
            <w:vAlign w:val="bottom"/>
          </w:tcPr>
          <w:p>
            <w:pPr>
              <w:spacing w:after="0"/>
              <w:rPr>
                <w:sz w:val="16"/>
                <w:szCs w:val="16"/>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jc w:val="right"/>
              <w:ind w:right="138"/>
              <w:spacing w:after="0" w:line="90" w:lineRule="exact"/>
              <w:rPr>
                <w:sz w:val="20"/>
                <w:szCs w:val="20"/>
                <w:color w:val="auto"/>
              </w:rPr>
            </w:pPr>
            <w:r>
              <w:rPr>
                <w:rFonts w:ascii="Times New Roman" w:cs="Times New Roman" w:eastAsia="Times New Roman" w:hAnsi="Times New Roman"/>
                <w:sz w:val="10"/>
                <w:szCs w:val="10"/>
                <w:color w:val="0000FF"/>
              </w:rPr>
              <w:t>Shares</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(4)</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10,000</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22"/>
                <w:szCs w:val="22"/>
                <w:color w:val="000000"/>
                <w:w w:val="88"/>
                <w:vertAlign w:val="subscript"/>
              </w:rPr>
              <w:t>$</w:t>
            </w:r>
            <w:r>
              <w:rPr>
                <w:rFonts w:ascii="Times New Roman" w:cs="Times New Roman" w:eastAsia="Times New Roman" w:hAnsi="Times New Roman"/>
                <w:sz w:val="25"/>
                <w:szCs w:val="25"/>
                <w:color w:val="0000FF"/>
                <w:w w:val="88"/>
                <w:vertAlign w:val="subscript"/>
              </w:rPr>
              <w:t>0</w:t>
            </w:r>
            <w:r>
              <w:rPr>
                <w:rFonts w:ascii="Times New Roman" w:cs="Times New Roman" w:eastAsia="Times New Roman" w:hAnsi="Times New Roman"/>
                <w:sz w:val="11"/>
                <w:szCs w:val="11"/>
                <w:color w:val="008000"/>
                <w:w w:val="88"/>
              </w:rPr>
              <w:t>(4)</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Share Unit</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01/05/2025</w:t>
            </w: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center"/>
              <w:ind w:right="396"/>
              <w:spacing w:after="0" w:line="128" w:lineRule="exact"/>
              <w:rPr>
                <w:sz w:val="20"/>
                <w:szCs w:val="20"/>
                <w:color w:val="auto"/>
              </w:rPr>
            </w:pPr>
            <w:r>
              <w:rPr>
                <w:rFonts w:ascii="Times New Roman" w:cs="Times New Roman" w:eastAsia="Times New Roman" w:hAnsi="Times New Roman"/>
                <w:sz w:val="13"/>
                <w:szCs w:val="13"/>
                <w:color w:val="0000FF"/>
                <w:w w:val="84"/>
              </w:rPr>
              <w:t>A</w:t>
            </w:r>
          </w:p>
        </w:tc>
        <w:tc>
          <w:tcPr>
            <w:tcW w:w="58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10,000</w:t>
            </w:r>
          </w:p>
        </w:tc>
        <w:tc>
          <w:tcPr>
            <w:tcW w:w="4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00" w:type="dxa"/>
            <w:vAlign w:val="bottom"/>
          </w:tcPr>
          <w:p>
            <w:pPr>
              <w:jc w:val="center"/>
              <w:ind w:left="181"/>
              <w:spacing w:after="0" w:line="128" w:lineRule="exact"/>
              <w:rPr>
                <w:sz w:val="20"/>
                <w:szCs w:val="20"/>
                <w:color w:val="auto"/>
              </w:rPr>
            </w:pPr>
            <w:r>
              <w:rPr>
                <w:rFonts w:ascii="Times New Roman" w:cs="Times New Roman" w:eastAsia="Times New Roman" w:hAnsi="Times New Roman"/>
                <w:sz w:val="13"/>
                <w:szCs w:val="13"/>
                <w:color w:val="0000FF"/>
              </w:rPr>
              <w:t>10,000</w:t>
            </w:r>
          </w:p>
        </w:tc>
        <w:tc>
          <w:tcPr>
            <w:tcW w:w="260" w:type="dxa"/>
            <w:vAlign w:val="bottom"/>
          </w:tcPr>
          <w:p>
            <w:pPr>
              <w:spacing w:after="0"/>
              <w:rPr>
                <w:sz w:val="11"/>
                <w:szCs w:val="11"/>
                <w:color w:val="auto"/>
              </w:rPr>
            </w:pP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Award</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right"/>
              <w:ind w:right="138"/>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(4)</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2,500</w:t>
            </w:r>
          </w:p>
        </w:tc>
        <w:tc>
          <w:tcPr>
            <w:tcW w:w="60" w:type="dxa"/>
            <w:vAlign w:val="bottom"/>
          </w:tcPr>
          <w:p>
            <w:pPr>
              <w:spacing w:after="0"/>
              <w:rPr>
                <w:sz w:val="15"/>
                <w:szCs w:val="15"/>
                <w:color w:val="auto"/>
              </w:rPr>
            </w:pPr>
          </w:p>
        </w:tc>
        <w:tc>
          <w:tcPr>
            <w:tcW w:w="680" w:type="dxa"/>
            <w:vAlign w:val="bottom"/>
            <w:gridSpan w:val="2"/>
            <w:vMerge w:val="restart"/>
          </w:tcPr>
          <w:p>
            <w:pPr>
              <w:jc w:val="center"/>
              <w:ind w:right="41"/>
              <w:spacing w:after="0"/>
              <w:rPr>
                <w:sz w:val="20"/>
                <w:szCs w:val="20"/>
                <w:color w:val="auto"/>
              </w:rPr>
            </w:pPr>
            <w:r>
              <w:rPr>
                <w:rFonts w:ascii="Arial" w:cs="Arial" w:eastAsia="Arial" w:hAnsi="Arial"/>
                <w:sz w:val="22"/>
                <w:szCs w:val="22"/>
                <w:color w:val="000000"/>
                <w:w w:val="88"/>
                <w:vertAlign w:val="subscript"/>
              </w:rPr>
              <w:t>$</w:t>
            </w:r>
            <w:r>
              <w:rPr>
                <w:rFonts w:ascii="Times New Roman" w:cs="Times New Roman" w:eastAsia="Times New Roman" w:hAnsi="Times New Roman"/>
                <w:sz w:val="25"/>
                <w:szCs w:val="25"/>
                <w:color w:val="0000FF"/>
                <w:w w:val="88"/>
                <w:vertAlign w:val="subscript"/>
              </w:rPr>
              <w:t>0</w:t>
            </w:r>
            <w:r>
              <w:rPr>
                <w:rFonts w:ascii="Times New Roman" w:cs="Times New Roman" w:eastAsia="Times New Roman" w:hAnsi="Times New Roman"/>
                <w:sz w:val="11"/>
                <w:szCs w:val="11"/>
                <w:color w:val="008000"/>
                <w:w w:val="88"/>
              </w:rPr>
              <w:t>(4)</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 Unit</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01/05/2025</w:t>
            </w: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restart"/>
          </w:tcPr>
          <w:p>
            <w:pPr>
              <w:jc w:val="center"/>
              <w:ind w:right="396"/>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5"/>
                <w:szCs w:val="5"/>
                <w:color w:val="auto"/>
              </w:rPr>
            </w:pPr>
          </w:p>
        </w:tc>
        <w:tc>
          <w:tcPr>
            <w:tcW w:w="42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2,500</w:t>
            </w: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0" w:type="dxa"/>
            <w:vAlign w:val="bottom"/>
            <w:vMerge w:val="restart"/>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w w:val="95"/>
              </w:rPr>
              <w:t>7,500</w:t>
            </w:r>
          </w:p>
        </w:tc>
        <w:tc>
          <w:tcPr>
            <w:tcW w:w="26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jc w:val="right"/>
              <w:ind w:right="138"/>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Award</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-2610485</wp:posOffset>
            </wp:positionV>
            <wp:extent cx="28575" cy="261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6155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balance includes 305 shares that were acquired through the Biohaven Employee Share Purchase Plan (the "ESPP") on May 31, 2023, 1,336 shares acquired through the ESPP on November 30, 2023, and</w:t>
      </w:r>
    </w:p>
    <w:p>
      <w:pPr>
        <w:spacing w:after="0" w:line="4" w:lineRule="exact"/>
        <w:rPr>
          <w:rFonts w:ascii="Times New Roman" w:cs="Times New Roman" w:eastAsia="Times New Roman" w:hAnsi="Times New Roman"/>
          <w:sz w:val="13"/>
          <w:szCs w:val="13"/>
          <w:color w:val="008000"/>
        </w:rPr>
      </w:pPr>
    </w:p>
    <w:p>
      <w:pPr>
        <w:ind w:left="260" w:hanging="220"/>
        <w:spacing w:after="0"/>
        <w:tabs>
          <w:tab w:leader="none" w:pos="2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acquired through the ESPP on May 31, 2024.</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shares were sold - these shares were withheld by the Issuer to satisfy tax withholding requirements in connection with the vesting of restricted share units.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in four equal installments on January 5, 2025, 2026, 2027 and 2028, subject to the Reporting Person's continuous service with the Issuer at each vesting date.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share unit represents the contingent right to receive one common share of the Issuer.</w:t>
      </w:r>
    </w:p>
    <w:p>
      <w:pPr>
        <w:spacing w:after="0" w:line="41" w:lineRule="exact"/>
        <w:rPr>
          <w:rFonts w:ascii="Times New Roman" w:cs="Times New Roman" w:eastAsia="Times New Roman" w:hAnsi="Times New Roman"/>
          <w:sz w:val="13"/>
          <w:szCs w:val="13"/>
          <w:color w:val="008000"/>
        </w:rPr>
      </w:pPr>
    </w:p>
    <w:p>
      <w:pPr>
        <w:ind w:left="40" w:right="200"/>
        <w:spacing w:after="0" w:line="250" w:lineRule="auto"/>
        <w:tabs>
          <w:tab w:leader="none" w:pos="168"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10,000 restricted share units on January 5, 2025, vesting in four equal installments on January 5, 2025, 2026, 2027 and 2028, subject to the reporting person's continued service with the Issuer at each vesting date.</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George Clark</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01/07/2025</w:t>
            </w: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73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742"/>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8290" TargetMode="External"/><Relationship Id="rId14" Type="http://schemas.openxmlformats.org/officeDocument/2006/relationships/hyperlink" Target="http://www.sec.gov/cgi-bin/browse-edgar?action=getcompany&amp;CIK=00019359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2025-01-07T19:58:17Z</dcterms:created>
  <dcterms:modified xsi:type="dcterms:W3CDTF">2025-01-07T19:58:17Z</dcterms:modified>
</cp:coreProperties>
</file>