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2"/>
          <w:szCs w:val="12"/>
          <w:b w:val="1"/>
          <w:bCs w:val="1"/>
          <w:color w:val="auto"/>
        </w:rPr>
        <w:t>As filed with the U.S. Securities and Exchange Commission on May 4, 2026.</w:t>
      </w:r>
    </w:p>
    <w:p>
      <w:pPr>
        <w:spacing w:after="0" w:line="52" w:lineRule="exact"/>
        <w:rPr>
          <w:sz w:val="24"/>
          <w:szCs w:val="24"/>
          <w:color w:val="auto"/>
        </w:rPr>
      </w:pPr>
    </w:p>
    <w:p>
      <w:pPr>
        <w:ind w:left="9980"/>
        <w:spacing w:after="0"/>
        <w:rPr>
          <w:sz w:val="20"/>
          <w:szCs w:val="20"/>
          <w:color w:val="auto"/>
        </w:rPr>
      </w:pPr>
      <w:r>
        <w:rPr>
          <w:rFonts w:ascii="Times New Roman" w:cs="Times New Roman" w:eastAsia="Times New Roman" w:hAnsi="Times New Roman"/>
          <w:sz w:val="11"/>
          <w:szCs w:val="11"/>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54610</wp:posOffset>
            </wp:positionV>
            <wp:extent cx="71608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wp:posOffset>
            </wp:positionV>
            <wp:extent cx="7160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7580" w:type="dxa"/>
            <w:vAlign w:val="bottom"/>
          </w:tcPr>
          <w:p>
            <w:pPr>
              <w:jc w:val="center"/>
              <w:ind w:right="3596"/>
              <w:spacing w:after="0"/>
              <w:rPr>
                <w:sz w:val="20"/>
                <w:szCs w:val="20"/>
                <w:color w:val="auto"/>
              </w:rPr>
            </w:pPr>
            <w:r>
              <w:rPr>
                <w:rFonts w:ascii="Times New Roman" w:cs="Times New Roman" w:eastAsia="Times New Roman" w:hAnsi="Times New Roman"/>
                <w:sz w:val="17"/>
                <w:szCs w:val="17"/>
                <w:b w:val="1"/>
                <w:bCs w:val="1"/>
                <w:color w:val="auto"/>
                <w:w w:val="98"/>
              </w:rPr>
              <w:t>UNITED STATES</w:t>
            </w:r>
          </w:p>
        </w:tc>
      </w:tr>
      <w:tr>
        <w:trPr>
          <w:trHeight w:val="289"/>
        </w:trPr>
        <w:tc>
          <w:tcPr>
            <w:tcW w:w="3700" w:type="dxa"/>
            <w:vAlign w:val="bottom"/>
          </w:tcPr>
          <w:p>
            <w:pPr>
              <w:spacing w:after="0"/>
              <w:rPr>
                <w:sz w:val="24"/>
                <w:szCs w:val="24"/>
                <w:color w:val="auto"/>
              </w:rPr>
            </w:pPr>
          </w:p>
        </w:tc>
        <w:tc>
          <w:tcPr>
            <w:tcW w:w="7580" w:type="dxa"/>
            <w:vAlign w:val="bottom"/>
          </w:tcPr>
          <w:p>
            <w:pPr>
              <w:jc w:val="center"/>
              <w:ind w:right="3616"/>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tc>
      </w:tr>
      <w:tr>
        <w:trPr>
          <w:trHeight w:val="289"/>
        </w:trPr>
        <w:tc>
          <w:tcPr>
            <w:tcW w:w="3700" w:type="dxa"/>
            <w:vAlign w:val="bottom"/>
          </w:tcPr>
          <w:p>
            <w:pPr>
              <w:spacing w:after="0"/>
              <w:rPr>
                <w:sz w:val="24"/>
                <w:szCs w:val="24"/>
                <w:color w:val="auto"/>
              </w:rPr>
            </w:pPr>
          </w:p>
        </w:tc>
        <w:tc>
          <w:tcPr>
            <w:tcW w:w="7580" w:type="dxa"/>
            <w:vAlign w:val="bottom"/>
          </w:tcPr>
          <w:p>
            <w:pPr>
              <w:jc w:val="center"/>
              <w:ind w:right="3616"/>
              <w:spacing w:after="0"/>
              <w:rPr>
                <w:sz w:val="20"/>
                <w:szCs w:val="20"/>
                <w:color w:val="auto"/>
              </w:rPr>
            </w:pPr>
            <w:r>
              <w:rPr>
                <w:rFonts w:ascii="Times New Roman" w:cs="Times New Roman" w:eastAsia="Times New Roman" w:hAnsi="Times New Roman"/>
                <w:sz w:val="17"/>
                <w:szCs w:val="17"/>
                <w:b w:val="1"/>
                <w:bCs w:val="1"/>
                <w:color w:val="auto"/>
                <w:w w:val="99"/>
              </w:rPr>
              <w:t>Washington, D.C. 20549</w:t>
            </w:r>
          </w:p>
        </w:tc>
      </w:tr>
      <w:tr>
        <w:trPr>
          <w:trHeight w:val="66"/>
        </w:trPr>
        <w:tc>
          <w:tcPr>
            <w:tcW w:w="3700" w:type="dxa"/>
            <w:vAlign w:val="bottom"/>
            <w:tcBorders>
              <w:bottom w:val="single" w:sz="8" w:color="auto"/>
            </w:tcBorders>
          </w:tcPr>
          <w:p>
            <w:pPr>
              <w:spacing w:after="0"/>
              <w:rPr>
                <w:sz w:val="5"/>
                <w:szCs w:val="5"/>
                <w:color w:val="auto"/>
              </w:rPr>
            </w:pPr>
          </w:p>
        </w:tc>
        <w:tc>
          <w:tcPr>
            <w:tcW w:w="7580" w:type="dxa"/>
            <w:vAlign w:val="bottom"/>
            <w:tcBorders>
              <w:bottom w:val="single" w:sz="8" w:color="auto"/>
            </w:tcBorders>
          </w:tcPr>
          <w:p>
            <w:pPr>
              <w:spacing w:after="0"/>
              <w:rPr>
                <w:sz w:val="5"/>
                <w:szCs w:val="5"/>
                <w:color w:val="auto"/>
              </w:rPr>
            </w:pPr>
          </w:p>
        </w:tc>
      </w:tr>
      <w:tr>
        <w:trPr>
          <w:trHeight w:val="300"/>
        </w:trPr>
        <w:tc>
          <w:tcPr>
            <w:tcW w:w="3700" w:type="dxa"/>
            <w:vAlign w:val="bottom"/>
          </w:tcPr>
          <w:p>
            <w:pPr>
              <w:spacing w:after="0"/>
              <w:rPr>
                <w:sz w:val="24"/>
                <w:szCs w:val="24"/>
                <w:color w:val="auto"/>
              </w:rPr>
            </w:pPr>
          </w:p>
        </w:tc>
        <w:tc>
          <w:tcPr>
            <w:tcW w:w="7580" w:type="dxa"/>
            <w:vAlign w:val="bottom"/>
          </w:tcPr>
          <w:p>
            <w:pPr>
              <w:jc w:val="center"/>
              <w:ind w:right="3616"/>
              <w:spacing w:after="0"/>
              <w:rPr>
                <w:sz w:val="20"/>
                <w:szCs w:val="20"/>
                <w:color w:val="auto"/>
              </w:rPr>
            </w:pPr>
            <w:r>
              <w:rPr>
                <w:rFonts w:ascii="Times New Roman" w:cs="Times New Roman" w:eastAsia="Times New Roman" w:hAnsi="Times New Roman"/>
                <w:sz w:val="17"/>
                <w:szCs w:val="17"/>
                <w:b w:val="1"/>
                <w:bCs w:val="1"/>
                <w:color w:val="auto"/>
              </w:rPr>
              <w:t>FORM S-3</w:t>
            </w:r>
          </w:p>
        </w:tc>
      </w:tr>
      <w:tr>
        <w:trPr>
          <w:trHeight w:val="234"/>
        </w:trPr>
        <w:tc>
          <w:tcPr>
            <w:tcW w:w="3700" w:type="dxa"/>
            <w:vAlign w:val="bottom"/>
          </w:tcPr>
          <w:p>
            <w:pPr>
              <w:spacing w:after="0"/>
              <w:rPr>
                <w:sz w:val="20"/>
                <w:szCs w:val="20"/>
                <w:color w:val="auto"/>
              </w:rPr>
            </w:pPr>
          </w:p>
        </w:tc>
        <w:tc>
          <w:tcPr>
            <w:tcW w:w="7580" w:type="dxa"/>
            <w:vAlign w:val="bottom"/>
          </w:tcPr>
          <w:p>
            <w:pPr>
              <w:jc w:val="center"/>
              <w:ind w:right="3596"/>
              <w:spacing w:after="0"/>
              <w:rPr>
                <w:sz w:val="20"/>
                <w:szCs w:val="20"/>
                <w:color w:val="auto"/>
              </w:rPr>
            </w:pPr>
            <w:r>
              <w:rPr>
                <w:rFonts w:ascii="Times New Roman" w:cs="Times New Roman" w:eastAsia="Times New Roman" w:hAnsi="Times New Roman"/>
                <w:sz w:val="17"/>
                <w:szCs w:val="17"/>
                <w:b w:val="1"/>
                <w:bCs w:val="1"/>
                <w:color w:val="auto"/>
                <w:w w:val="99"/>
              </w:rPr>
              <w:t>REGISTRATION STATEMENT</w:t>
            </w:r>
          </w:p>
        </w:tc>
      </w:tr>
      <w:tr>
        <w:trPr>
          <w:trHeight w:val="203"/>
        </w:trPr>
        <w:tc>
          <w:tcPr>
            <w:tcW w:w="3700" w:type="dxa"/>
            <w:vAlign w:val="bottom"/>
          </w:tcPr>
          <w:p>
            <w:pPr>
              <w:spacing w:after="0"/>
              <w:rPr>
                <w:sz w:val="17"/>
                <w:szCs w:val="17"/>
                <w:color w:val="auto"/>
              </w:rPr>
            </w:pPr>
          </w:p>
        </w:tc>
        <w:tc>
          <w:tcPr>
            <w:tcW w:w="7580" w:type="dxa"/>
            <w:vAlign w:val="bottom"/>
          </w:tcPr>
          <w:p>
            <w:pPr>
              <w:jc w:val="center"/>
              <w:ind w:right="3616"/>
              <w:spacing w:after="0"/>
              <w:rPr>
                <w:sz w:val="20"/>
                <w:szCs w:val="20"/>
                <w:color w:val="auto"/>
              </w:rPr>
            </w:pPr>
            <w:r>
              <w:rPr>
                <w:rFonts w:ascii="Times New Roman" w:cs="Times New Roman" w:eastAsia="Times New Roman" w:hAnsi="Times New Roman"/>
                <w:sz w:val="17"/>
                <w:szCs w:val="17"/>
                <w:b w:val="1"/>
                <w:bCs w:val="1"/>
                <w:color w:val="auto"/>
                <w:w w:val="99"/>
              </w:rPr>
              <w:t>UNDER</w:t>
            </w:r>
          </w:p>
        </w:tc>
      </w:tr>
      <w:tr>
        <w:trPr>
          <w:trHeight w:val="227"/>
        </w:trPr>
        <w:tc>
          <w:tcPr>
            <w:tcW w:w="3700" w:type="dxa"/>
            <w:vAlign w:val="bottom"/>
          </w:tcPr>
          <w:p>
            <w:pPr>
              <w:spacing w:after="0"/>
              <w:rPr>
                <w:sz w:val="19"/>
                <w:szCs w:val="19"/>
                <w:color w:val="auto"/>
              </w:rPr>
            </w:pPr>
          </w:p>
        </w:tc>
        <w:tc>
          <w:tcPr>
            <w:tcW w:w="7580" w:type="dxa"/>
            <w:vAlign w:val="bottom"/>
          </w:tcPr>
          <w:p>
            <w:pPr>
              <w:jc w:val="center"/>
              <w:ind w:right="3616"/>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tc>
      </w:tr>
      <w:tr>
        <w:trPr>
          <w:trHeight w:val="55"/>
        </w:trPr>
        <w:tc>
          <w:tcPr>
            <w:tcW w:w="3700" w:type="dxa"/>
            <w:vAlign w:val="bottom"/>
            <w:tcBorders>
              <w:bottom w:val="single" w:sz="8" w:color="auto"/>
            </w:tcBorders>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r>
      <w:tr>
        <w:trPr>
          <w:trHeight w:val="369"/>
        </w:trPr>
        <w:tc>
          <w:tcPr>
            <w:tcW w:w="3700" w:type="dxa"/>
            <w:vAlign w:val="bottom"/>
          </w:tcPr>
          <w:p>
            <w:pPr>
              <w:spacing w:after="0"/>
              <w:rPr>
                <w:sz w:val="24"/>
                <w:szCs w:val="24"/>
                <w:color w:val="auto"/>
              </w:rPr>
            </w:pPr>
          </w:p>
        </w:tc>
        <w:tc>
          <w:tcPr>
            <w:tcW w:w="7580" w:type="dxa"/>
            <w:vAlign w:val="bottom"/>
          </w:tcPr>
          <w:p>
            <w:pPr>
              <w:jc w:val="center"/>
              <w:ind w:right="3596"/>
              <w:spacing w:after="0"/>
              <w:rPr>
                <w:sz w:val="20"/>
                <w:szCs w:val="20"/>
                <w:color w:val="auto"/>
              </w:rPr>
            </w:pPr>
            <w:r>
              <w:rPr>
                <w:rFonts w:ascii="Times New Roman" w:cs="Times New Roman" w:eastAsia="Times New Roman" w:hAnsi="Times New Roman"/>
                <w:sz w:val="23"/>
                <w:szCs w:val="23"/>
                <w:b w:val="1"/>
                <w:bCs w:val="1"/>
                <w:color w:val="auto"/>
                <w:w w:val="96"/>
              </w:rPr>
              <w:t>BIOHAVEN LTD.</w:t>
            </w:r>
          </w:p>
        </w:tc>
      </w:tr>
      <w:tr>
        <w:trPr>
          <w:trHeight w:val="210"/>
        </w:trPr>
        <w:tc>
          <w:tcPr>
            <w:tcW w:w="3700" w:type="dxa"/>
            <w:vAlign w:val="bottom"/>
          </w:tcPr>
          <w:p>
            <w:pPr>
              <w:spacing w:after="0"/>
              <w:rPr>
                <w:sz w:val="18"/>
                <w:szCs w:val="18"/>
                <w:color w:val="auto"/>
              </w:rPr>
            </w:pPr>
          </w:p>
        </w:tc>
        <w:tc>
          <w:tcPr>
            <w:tcW w:w="7580" w:type="dxa"/>
            <w:vAlign w:val="bottom"/>
          </w:tcPr>
          <w:p>
            <w:pPr>
              <w:jc w:val="center"/>
              <w:ind w:right="361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43"/>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British Virgin Islands</w:t>
            </w:r>
          </w:p>
        </w:tc>
        <w:tc>
          <w:tcPr>
            <w:tcW w:w="7580" w:type="dxa"/>
            <w:vAlign w:val="bottom"/>
          </w:tcPr>
          <w:p>
            <w:pPr>
              <w:jc w:val="center"/>
              <w:ind w:left="3736"/>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85"/>
        </w:trPr>
        <w:tc>
          <w:tcPr>
            <w:tcW w:w="370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7580" w:type="dxa"/>
            <w:vAlign w:val="bottom"/>
          </w:tcPr>
          <w:p>
            <w:pPr>
              <w:jc w:val="center"/>
              <w:ind w:left="3736"/>
              <w:spacing w:after="0"/>
              <w:rPr>
                <w:sz w:val="20"/>
                <w:szCs w:val="20"/>
                <w:color w:val="auto"/>
              </w:rPr>
            </w:pPr>
            <w:r>
              <w:rPr>
                <w:rFonts w:ascii="Times New Roman" w:cs="Times New Roman" w:eastAsia="Times New Roman" w:hAnsi="Times New Roman"/>
                <w:sz w:val="14"/>
                <w:szCs w:val="14"/>
                <w:color w:val="auto"/>
              </w:rPr>
              <w:t>(I.R.S. Employer 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71608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 Biohaven Pharmaceuticals,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215 Church Street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Haven, Connecticut 06510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(203) 404-0410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1608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Vlad Coric, M.D.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Biohaven Ltd.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 Biohaven Pharmaceuticals, Inc.</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215 Church Street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Haven, Connecticut 06510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(203) 404-0410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160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Robert W. Downes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Sullivan &amp; Cromwell LLP</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125 Broad Street</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York, NY 10004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(212) 558-4000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71608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58"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1"/>
          <w:szCs w:val="11"/>
          <w:b w:val="1"/>
          <w:bCs w:val="1"/>
          <w:color w:val="auto"/>
        </w:rPr>
        <w:t>Approximate date of commencement of proposed sale to the public: 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27305</wp:posOffset>
            </wp:positionV>
            <wp:extent cx="71608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76"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1"/>
          <w:szCs w:val="11"/>
          <w:color w:val="auto"/>
        </w:rPr>
        <w:t>☐</w:t>
      </w:r>
    </w:p>
    <w:p>
      <w:pPr>
        <w:spacing w:after="0" w:line="125" w:lineRule="exact"/>
        <w:rPr>
          <w:sz w:val="24"/>
          <w:szCs w:val="24"/>
          <w:color w:val="auto"/>
        </w:rPr>
      </w:pPr>
    </w:p>
    <w:p>
      <w:pPr>
        <w:ind w:right="120"/>
        <w:spacing w:after="0" w:line="148" w:lineRule="exact"/>
        <w:rPr>
          <w:sz w:val="20"/>
          <w:szCs w:val="20"/>
          <w:color w:val="auto"/>
        </w:rPr>
      </w:pPr>
      <w:r>
        <w:rPr>
          <w:rFonts w:ascii="Times New Roman" w:cs="Times New Roman" w:eastAsia="Times New Roman" w:hAnsi="Times New Roman"/>
          <w:sz w:val="11"/>
          <w:szCs w:val="11"/>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1"/>
          <w:szCs w:val="11"/>
          <w:color w:val="auto"/>
        </w:rPr>
        <w:t>☒</w:t>
      </w:r>
    </w:p>
    <w:p>
      <w:pPr>
        <w:spacing w:after="0" w:line="59" w:lineRule="exact"/>
        <w:rPr>
          <w:sz w:val="24"/>
          <w:szCs w:val="24"/>
          <w:color w:val="auto"/>
        </w:rPr>
      </w:pPr>
    </w:p>
    <w:p>
      <w:pPr>
        <w:ind w:right="360"/>
        <w:spacing w:after="0" w:line="153" w:lineRule="exact"/>
        <w:rPr>
          <w:sz w:val="20"/>
          <w:szCs w:val="20"/>
          <w:color w:val="auto"/>
        </w:rPr>
      </w:pPr>
      <w:r>
        <w:rPr>
          <w:rFonts w:ascii="Times New Roman" w:cs="Times New Roman" w:eastAsia="Times New Roman" w:hAnsi="Times New Roman"/>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59" w:lineRule="exact"/>
        <w:rPr>
          <w:sz w:val="24"/>
          <w:szCs w:val="24"/>
          <w:color w:val="auto"/>
        </w:rPr>
      </w:pPr>
    </w:p>
    <w:p>
      <w:pPr>
        <w:ind w:right="40"/>
        <w:spacing w:after="0" w:line="15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201" w:lineRule="exact"/>
        <w:rPr>
          <w:sz w:val="24"/>
          <w:szCs w:val="24"/>
          <w:color w:val="auto"/>
        </w:rPr>
      </w:pPr>
    </w:p>
    <w:p>
      <w:pPr>
        <w:ind w:right="120"/>
        <w:spacing w:after="0" w:line="153" w:lineRule="exact"/>
        <w:rPr>
          <w:sz w:val="20"/>
          <w:szCs w:val="20"/>
          <w:color w:val="auto"/>
        </w:rPr>
      </w:pPr>
      <w:r>
        <w:rPr>
          <w:rFonts w:ascii="Times New Roman" w:cs="Times New Roman" w:eastAsia="Times New Roman" w:hAnsi="Times New Roman"/>
          <w:sz w:val="11"/>
          <w:szCs w:val="11"/>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1"/>
          <w:szCs w:val="11"/>
          <w:color w:val="auto"/>
        </w:rPr>
        <w:t>☒</w:t>
      </w:r>
    </w:p>
    <w:p>
      <w:pPr>
        <w:spacing w:after="0" w:line="212" w:lineRule="exact"/>
        <w:rPr>
          <w:sz w:val="24"/>
          <w:szCs w:val="24"/>
          <w:color w:val="auto"/>
        </w:rPr>
      </w:pPr>
    </w:p>
    <w:p>
      <w:pPr>
        <w:ind w:right="280"/>
        <w:spacing w:after="0" w:line="153" w:lineRule="exact"/>
        <w:rPr>
          <w:sz w:val="20"/>
          <w:szCs w:val="20"/>
          <w:color w:val="auto"/>
        </w:rPr>
      </w:pPr>
      <w:r>
        <w:rPr>
          <w:rFonts w:ascii="Times New Roman" w:cs="Times New Roman" w:eastAsia="Times New Roman" w:hAnsi="Times New Roman"/>
          <w:sz w:val="11"/>
          <w:szCs w:val="11"/>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1"/>
          <w:szCs w:val="11"/>
          <w:color w:val="auto"/>
        </w:rPr>
        <w:t>☐</w:t>
      </w:r>
    </w:p>
    <w:p>
      <w:pPr>
        <w:spacing w:after="0" w:line="59" w:lineRule="exact"/>
        <w:rPr>
          <w:sz w:val="24"/>
          <w:szCs w:val="24"/>
          <w:color w:val="auto"/>
        </w:rPr>
      </w:pPr>
    </w:p>
    <w:p>
      <w:pPr>
        <w:ind w:right="40"/>
        <w:spacing w:after="0" w:line="284"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35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8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Accelerated filer</w:t>
            </w:r>
          </w:p>
        </w:tc>
        <w:tc>
          <w:tcPr>
            <w:tcW w:w="100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92"/>
        </w:trPr>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35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8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00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93"/>
        </w:trPr>
        <w:tc>
          <w:tcPr>
            <w:tcW w:w="1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980" w:type="dxa"/>
            <w:vAlign w:val="bottom"/>
          </w:tcPr>
          <w:p>
            <w:pPr>
              <w:ind w:left="28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000" w:type="dxa"/>
            <w:vAlign w:val="bottom"/>
          </w:tcPr>
          <w:p>
            <w:pPr>
              <w:ind w:left="880"/>
              <w:spacing w:after="0" w:line="111" w:lineRule="exact"/>
              <w:rPr>
                <w:sz w:val="20"/>
                <w:szCs w:val="20"/>
                <w:color w:val="auto"/>
              </w:rPr>
            </w:pPr>
            <w:r>
              <w:rPr>
                <w:rFonts w:ascii="MS PGothic" w:cs="MS PGothic" w:eastAsia="MS PGothic" w:hAnsi="MS PGothic"/>
                <w:sz w:val="11"/>
                <w:szCs w:val="11"/>
                <w:color w:val="auto"/>
                <w:w w:val="90"/>
              </w:rPr>
              <w:t>☐</w:t>
            </w:r>
          </w:p>
        </w:tc>
      </w:tr>
    </w:tbl>
    <w:p>
      <w:pPr>
        <w:spacing w:after="0" w:line="70" w:lineRule="exact"/>
        <w:rPr>
          <w:sz w:val="24"/>
          <w:szCs w:val="24"/>
          <w:color w:val="auto"/>
        </w:rPr>
      </w:pPr>
    </w:p>
    <w:p>
      <w:pPr>
        <w:ind w:right="220"/>
        <w:spacing w:after="0" w:line="15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71608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5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99060</wp:posOffset>
            </wp:positionV>
            <wp:extent cx="2223770" cy="387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3770" cy="38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Biohaven Ltd.</w:t>
      </w:r>
    </w:p>
    <w:p>
      <w:pPr>
        <w:spacing w:after="0" w:line="3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Common Shares</w:t>
      </w:r>
    </w:p>
    <w:p>
      <w:pPr>
        <w:spacing w:after="0" w:line="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b w:val="1"/>
          <w:bCs w:val="1"/>
          <w:color w:val="auto"/>
        </w:rPr>
        <w:t>Preferred Shares</w:t>
      </w:r>
    </w:p>
    <w:p>
      <w:pPr>
        <w:spacing w:after="0" w:line="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Debt Securities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Rights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Purchase Contracts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Units</w:t>
      </w:r>
    </w:p>
    <w:p>
      <w:pPr>
        <w:spacing w:after="0" w:line="8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From time to time, we, and certain selling shareholders to be named in prospectus supplement(s) that may be provided in the future, may offer the securities described in this prospectus, either individually or in combination, in one or more classes or series, in amounts, at prices and on terms that will be determined at the time of the offering. Information about any selling shareholder and its resale of common shares, including the relationship between such selling shareholder and us and the amounts, prices and other terms of the applicable offering, will be included in the applicable prospectus supplement.</w:t>
      </w:r>
    </w:p>
    <w:p>
      <w:pPr>
        <w:spacing w:after="0" w:line="1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4"/>
          <w:szCs w:val="14"/>
          <w:color w:val="auto"/>
        </w:rPr>
        <w:t>We intend to use the net proceeds from the sale of our securities offered by us for general corporate purposes unless otherwise specified in the applicable prospectus supplement. We will not receive any of the proceeds from the sale of common shares by any selling shareholder. We will pay all of the fees and expenses incurred in connection with the registration of the common shares. We will not bear any underwriting discounts and selling commissions or similar selling expenses incurred in connection with the offering of the common shares by any selling shareholder.</w:t>
      </w:r>
    </w:p>
    <w:p>
      <w:pPr>
        <w:spacing w:after="0" w:line="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We will provide the specific terms of the securities to be offered in one or more supplements to this prospectus. The specific plan of distribution for any securities to be offered will also be provided in a prospectus supplement. Prospectus supplements may also add, update or change information in this prospectus. You should read this prospectus and the applicable prospectus supplement, together with additional information described under “Where You Can Find Additional Information,” carefully before you invest in our securities. This prospectus may not be used to offer and sell our securities unless accompanied by a prospectus supplement describing the method and terms of the offering of those offered securities.</w:t>
      </w:r>
    </w:p>
    <w:p>
      <w:pPr>
        <w:spacing w:after="0" w:line="12"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4"/>
          <w:szCs w:val="14"/>
          <w:color w:val="auto"/>
        </w:rPr>
        <w:t>We may offer and sell the securities directly, through agents we select from time to time or to or through underwriters or dealers we select, or through a combination of these methods. If we use any agents, underwriters or dealers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8"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4"/>
          <w:szCs w:val="14"/>
          <w:color w:val="auto"/>
        </w:rPr>
        <w:t>Our common shares are listed on the New York Stock Exchange, or the NYSE, under the symbol “BHVN.” Each prospectus supplement will indicate if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608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b w:val="1"/>
          <w:bCs w:val="1"/>
          <w:color w:val="auto"/>
        </w:rPr>
        <w:t>Investing in any of our securities involves a high degree of risk. Please read carefully the section entitled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on page </w:t>
      </w:r>
      <w:r>
        <w:rPr>
          <w:rFonts w:ascii="Times New Roman" w:cs="Times New Roman" w:eastAsia="Times New Roman" w:hAnsi="Times New Roman"/>
          <w:sz w:val="14"/>
          <w:szCs w:val="14"/>
          <w:b w:val="1"/>
          <w:bCs w:val="1"/>
          <w:u w:val="single" w:color="auto"/>
          <w:color w:val="0000FF"/>
        </w:rPr>
        <w:t>6</w:t>
      </w:r>
      <w:r>
        <w:rPr>
          <w:rFonts w:ascii="Times New Roman" w:cs="Times New Roman" w:eastAsia="Times New Roman" w:hAnsi="Times New Roman"/>
          <w:sz w:val="14"/>
          <w:szCs w:val="14"/>
          <w:b w:val="1"/>
          <w:bCs w:val="1"/>
          <w:color w:val="auto"/>
        </w:rPr>
        <w:t xml:space="preserve"> of this prospectus, the “Risk Factors” section contained in the applicable prospectus supplement and the information included and incorporated by reference in this prospectus and the applicable prospectus supplement.</w:t>
      </w:r>
    </w:p>
    <w:p>
      <w:pPr>
        <w:spacing w:after="0" w:line="1"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6089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57785</wp:posOffset>
            </wp:positionV>
            <wp:extent cx="716089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pacing w:after="0" w:line="21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color w:val="auto"/>
        </w:rPr>
        <w:t>No dealer, salesperson or other person is authorized to give any information or to represent anything not contained in this prospectus or any accompanying prospectus supplement. This prospectus and any accompanying prospectus supplement together are an offer to sell only the securities offered hereby and thereby, but only under circumstances and in jurisdictions where it is lawful to do so. The information contained in this prospectus and any accompanying prospectus supplement is current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608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698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720" w:type="dxa"/>
            <w:vAlign w:val="bottom"/>
            <w:gridSpan w:val="4"/>
          </w:tcPr>
          <w:p>
            <w:pPr>
              <w:jc w:val="right"/>
              <w:ind w:right="488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02"/>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0"/>
        </w:trPr>
        <w:tc>
          <w:tcPr>
            <w:tcW w:w="1720" w:type="dxa"/>
            <w:vAlign w:val="bottom"/>
            <w:gridSpan w:val="8"/>
          </w:tcPr>
          <w:p>
            <w:pPr>
              <w:spacing w:after="0" w:line="150" w:lineRule="exact"/>
              <w:rPr>
                <w:sz w:val="20"/>
                <w:szCs w:val="20"/>
                <w:color w:val="auto"/>
              </w:rPr>
            </w:pPr>
            <w:r>
              <w:rPr>
                <w:rFonts w:ascii="Times New Roman" w:cs="Times New Roman" w:eastAsia="Times New Roman" w:hAnsi="Times New Roman"/>
                <w:sz w:val="14"/>
                <w:szCs w:val="14"/>
                <w:color w:val="0000FF"/>
                <w:w w:val="96"/>
              </w:rPr>
              <w:t>ABOUT THIS PROSPECTUS</w:t>
            </w:r>
          </w:p>
        </w:tc>
        <w:tc>
          <w:tcPr>
            <w:tcW w:w="2820" w:type="dxa"/>
            <w:vAlign w:val="bottom"/>
            <w:gridSpan w:val="9"/>
          </w:tcPr>
          <w:p>
            <w:pPr>
              <w:spacing w:after="0"/>
              <w:rPr>
                <w:sz w:val="13"/>
                <w:szCs w:val="13"/>
                <w:color w:val="auto"/>
              </w:rPr>
            </w:pPr>
          </w:p>
        </w:tc>
        <w:tc>
          <w:tcPr>
            <w:tcW w:w="5880" w:type="dxa"/>
            <w:vAlign w:val="bottom"/>
          </w:tcPr>
          <w:p>
            <w:pPr>
              <w:spacing w:after="0"/>
              <w:rPr>
                <w:sz w:val="13"/>
                <w:szCs w:val="13"/>
                <w:color w:val="auto"/>
              </w:rPr>
            </w:pPr>
          </w:p>
        </w:tc>
        <w:tc>
          <w:tcPr>
            <w:tcW w:w="8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0000FF"/>
              </w:rPr>
              <w:t>1</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42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300" w:type="dxa"/>
            <w:vAlign w:val="bottom"/>
          </w:tcPr>
          <w:p>
            <w:pPr>
              <w:spacing w:after="0"/>
              <w:rPr>
                <w:sz w:val="14"/>
                <w:szCs w:val="14"/>
                <w:color w:val="auto"/>
              </w:rPr>
            </w:pP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2</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424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WHERE YOU CAN FIND ADDITIONAL INFORMATION</w:t>
            </w:r>
          </w:p>
        </w:tc>
        <w:tc>
          <w:tcPr>
            <w:tcW w:w="300" w:type="dxa"/>
            <w:vAlign w:val="bottom"/>
          </w:tcPr>
          <w:p>
            <w:pPr>
              <w:spacing w:after="0"/>
              <w:rPr>
                <w:sz w:val="14"/>
                <w:szCs w:val="14"/>
                <w:color w:val="auto"/>
              </w:rPr>
            </w:pP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4</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45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INCORPORATION OF CERTAIN INFORMATION BY REFERENCE</w:t>
            </w: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3100" w:type="dxa"/>
            <w:vAlign w:val="bottom"/>
            <w:gridSpan w:val="13"/>
          </w:tcPr>
          <w:p>
            <w:pPr>
              <w:spacing w:after="0"/>
              <w:rPr>
                <w:sz w:val="14"/>
                <w:szCs w:val="14"/>
                <w:color w:val="auto"/>
              </w:rPr>
            </w:pPr>
          </w:p>
        </w:tc>
        <w:tc>
          <w:tcPr>
            <w:tcW w:w="440" w:type="dxa"/>
            <w:vAlign w:val="bottom"/>
            <w:gridSpan w:val="2"/>
          </w:tcPr>
          <w:p>
            <w:pPr>
              <w:spacing w:after="0"/>
              <w:rPr>
                <w:sz w:val="14"/>
                <w:szCs w:val="14"/>
                <w:color w:val="auto"/>
              </w:rPr>
            </w:pP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9"/>
              </w:rPr>
              <w:t>THE COMPANY</w:t>
            </w:r>
          </w:p>
        </w:tc>
        <w:tc>
          <w:tcPr>
            <w:tcW w:w="3520" w:type="dxa"/>
            <w:vAlign w:val="bottom"/>
            <w:gridSpan w:val="14"/>
          </w:tcPr>
          <w:p>
            <w:pPr>
              <w:spacing w:after="0"/>
              <w:rPr>
                <w:sz w:val="14"/>
                <w:szCs w:val="14"/>
                <w:color w:val="auto"/>
              </w:rPr>
            </w:pP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r>
      <w:tr>
        <w:trPr>
          <w:trHeight w:val="20"/>
        </w:trPr>
        <w:tc>
          <w:tcPr>
            <w:tcW w:w="6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USE OF PROCEEDS</w:t>
            </w:r>
          </w:p>
        </w:tc>
        <w:tc>
          <w:tcPr>
            <w:tcW w:w="3280" w:type="dxa"/>
            <w:vAlign w:val="bottom"/>
            <w:gridSpan w:val="13"/>
          </w:tcPr>
          <w:p>
            <w:pPr>
              <w:spacing w:after="0"/>
              <w:rPr>
                <w:sz w:val="14"/>
                <w:szCs w:val="14"/>
                <w:color w:val="auto"/>
              </w:rPr>
            </w:pP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8</w:t>
            </w:r>
          </w:p>
        </w:tc>
      </w:tr>
      <w:tr>
        <w:trPr>
          <w:trHeight w:val="20"/>
        </w:trPr>
        <w:tc>
          <w:tcPr>
            <w:tcW w:w="6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2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DESCRIPTION OF SHARE CAPITAL</w:t>
            </w:r>
          </w:p>
        </w:tc>
        <w:tc>
          <w:tcPr>
            <w:tcW w:w="2260" w:type="dxa"/>
            <w:vAlign w:val="bottom"/>
            <w:gridSpan w:val="7"/>
          </w:tcPr>
          <w:p>
            <w:pPr>
              <w:spacing w:after="0"/>
              <w:rPr>
                <w:sz w:val="14"/>
                <w:szCs w:val="14"/>
                <w:color w:val="auto"/>
              </w:rPr>
            </w:pP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9</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64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DESCRIPTION OF DEPOSITARY SHARES</w:t>
            </w:r>
          </w:p>
        </w:tc>
        <w:tc>
          <w:tcPr>
            <w:tcW w:w="1900" w:type="dxa"/>
            <w:vAlign w:val="bottom"/>
            <w:gridSpan w:val="5"/>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19</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4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DESCRIPTION OF DEBT SECURITIES</w:t>
            </w:r>
          </w:p>
        </w:tc>
        <w:tc>
          <w:tcPr>
            <w:tcW w:w="240" w:type="dxa"/>
            <w:vAlign w:val="bottom"/>
          </w:tcPr>
          <w:p>
            <w:pPr>
              <w:spacing w:after="0"/>
              <w:rPr>
                <w:sz w:val="14"/>
                <w:szCs w:val="14"/>
                <w:color w:val="auto"/>
              </w:rPr>
            </w:pPr>
          </w:p>
        </w:tc>
        <w:tc>
          <w:tcPr>
            <w:tcW w:w="1900" w:type="dxa"/>
            <w:vAlign w:val="bottom"/>
            <w:gridSpan w:val="5"/>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23</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4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DESCRIPTION OF WARRANTS</w:t>
            </w:r>
          </w:p>
        </w:tc>
        <w:tc>
          <w:tcPr>
            <w:tcW w:w="2140" w:type="dxa"/>
            <w:vAlign w:val="bottom"/>
            <w:gridSpan w:val="6"/>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30</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7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DESCRIPTION OF RIGHTS</w:t>
            </w:r>
          </w:p>
        </w:tc>
        <w:tc>
          <w:tcPr>
            <w:tcW w:w="260" w:type="dxa"/>
            <w:vAlign w:val="bottom"/>
            <w:gridSpan w:val="2"/>
          </w:tcPr>
          <w:p>
            <w:pPr>
              <w:spacing w:after="0"/>
              <w:rPr>
                <w:sz w:val="14"/>
                <w:szCs w:val="14"/>
                <w:color w:val="auto"/>
              </w:rPr>
            </w:pPr>
          </w:p>
        </w:tc>
        <w:tc>
          <w:tcPr>
            <w:tcW w:w="2580" w:type="dxa"/>
            <w:vAlign w:val="bottom"/>
            <w:gridSpan w:val="8"/>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34</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8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DESCRIPTION OF PURCHASE CONTRACTS</w:t>
            </w:r>
          </w:p>
        </w:tc>
        <w:tc>
          <w:tcPr>
            <w:tcW w:w="1720" w:type="dxa"/>
            <w:vAlign w:val="bottom"/>
            <w:gridSpan w:val="4"/>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35</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5"/>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8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DESCRIPTION OF UNITS</w:t>
            </w:r>
          </w:p>
        </w:tc>
        <w:tc>
          <w:tcPr>
            <w:tcW w:w="1720" w:type="dxa"/>
            <w:vAlign w:val="bottom"/>
            <w:gridSpan w:val="4"/>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36</w:t>
            </w:r>
          </w:p>
        </w:tc>
      </w:tr>
      <w:tr>
        <w:trPr>
          <w:trHeight w:val="20"/>
        </w:trPr>
        <w:tc>
          <w:tcPr>
            <w:tcW w:w="62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7"/>
              </w:rPr>
              <w:t>SELLING SHAREHOLDERS</w:t>
            </w:r>
          </w:p>
        </w:tc>
        <w:tc>
          <w:tcPr>
            <w:tcW w:w="2820" w:type="dxa"/>
            <w:vAlign w:val="bottom"/>
            <w:gridSpan w:val="9"/>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37</w:t>
            </w:r>
          </w:p>
        </w:tc>
      </w:tr>
      <w:tr>
        <w:trPr>
          <w:trHeight w:val="20"/>
        </w:trPr>
        <w:tc>
          <w:tcPr>
            <w:tcW w:w="62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7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PLAN OF DISTRIBUTION</w:t>
            </w:r>
          </w:p>
        </w:tc>
        <w:tc>
          <w:tcPr>
            <w:tcW w:w="2820" w:type="dxa"/>
            <w:vAlign w:val="bottom"/>
            <w:gridSpan w:val="9"/>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38</w:t>
            </w:r>
          </w:p>
        </w:tc>
      </w:tr>
      <w:tr>
        <w:trPr>
          <w:trHeight w:val="20"/>
        </w:trPr>
        <w:tc>
          <w:tcPr>
            <w:tcW w:w="620" w:type="dxa"/>
            <w:vAlign w:val="bottom"/>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45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VALIDITY OF SECURITIES</w:t>
            </w:r>
          </w:p>
        </w:tc>
        <w:tc>
          <w:tcPr>
            <w:tcW w:w="67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0000FF"/>
              </w:rPr>
              <w:t>40</w:t>
            </w:r>
          </w:p>
        </w:tc>
      </w:tr>
      <w:tr>
        <w:trPr>
          <w:trHeight w:val="20"/>
        </w:trPr>
        <w:tc>
          <w:tcPr>
            <w:tcW w:w="620" w:type="dxa"/>
            <w:vAlign w:val="bottom"/>
            <w:shd w:val="clear" w:color="auto" w:fill="0000FF"/>
          </w:tcPr>
          <w:p>
            <w:pPr>
              <w:spacing w:after="0" w:line="20" w:lineRule="exact"/>
              <w:rPr>
                <w:sz w:val="1"/>
                <w:szCs w:val="1"/>
                <w:color w:val="auto"/>
              </w:rPr>
            </w:pPr>
          </w:p>
        </w:tc>
        <w:tc>
          <w:tcPr>
            <w:tcW w:w="1100" w:type="dxa"/>
            <w:vAlign w:val="bottom"/>
            <w:gridSpan w:val="7"/>
            <w:shd w:val="clear" w:color="auto" w:fill="0000FF"/>
          </w:tcPr>
          <w:p>
            <w:pPr>
              <w:spacing w:after="0" w:line="20" w:lineRule="exact"/>
              <w:rPr>
                <w:sz w:val="1"/>
                <w:szCs w:val="1"/>
                <w:color w:val="auto"/>
              </w:rPr>
            </w:pPr>
          </w:p>
        </w:tc>
        <w:tc>
          <w:tcPr>
            <w:tcW w:w="2820" w:type="dxa"/>
            <w:vAlign w:val="bottom"/>
            <w:gridSpan w:val="9"/>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0000FF"/>
                <w:w w:val="98"/>
              </w:rPr>
              <w:t>EXPERTS</w:t>
            </w:r>
          </w:p>
        </w:tc>
        <w:tc>
          <w:tcPr>
            <w:tcW w:w="1100" w:type="dxa"/>
            <w:vAlign w:val="bottom"/>
            <w:gridSpan w:val="7"/>
          </w:tcPr>
          <w:p>
            <w:pPr>
              <w:spacing w:after="0"/>
              <w:rPr>
                <w:sz w:val="14"/>
                <w:szCs w:val="14"/>
                <w:color w:val="auto"/>
              </w:rPr>
            </w:pPr>
          </w:p>
        </w:tc>
        <w:tc>
          <w:tcPr>
            <w:tcW w:w="2820" w:type="dxa"/>
            <w:vAlign w:val="bottom"/>
            <w:gridSpan w:val="9"/>
          </w:tcPr>
          <w:p>
            <w:pPr>
              <w:spacing w:after="0"/>
              <w:rPr>
                <w:sz w:val="14"/>
                <w:szCs w:val="14"/>
                <w:color w:val="auto"/>
              </w:rPr>
            </w:pPr>
          </w:p>
        </w:tc>
        <w:tc>
          <w:tcPr>
            <w:tcW w:w="6560" w:type="dxa"/>
            <w:vAlign w:val="bottom"/>
            <w:gridSpan w:val="2"/>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0000FF"/>
                <w:w w:val="85"/>
              </w:rPr>
              <w:t>41</w:t>
            </w: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60"/>
          </w:cols>
          <w:pgMar w:left="320" w:top="1279" w:right="319" w:bottom="1440" w:gutter="0" w:footer="0" w:header="0"/>
        </w:sectPr>
      </w:pPr>
    </w:p>
    <w:bookmarkStart w:id="3" w:name="page4"/>
    <w:bookmarkEnd w:id="3"/>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 is a part of a registration statement that we filed with the Securities and Exchange Commission (the “SEC”) using a “shelf” registration process.</w:t>
      </w:r>
    </w:p>
    <w:p>
      <w:pPr>
        <w:spacing w:after="0" w:line="139"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4"/>
          <w:szCs w:val="14"/>
          <w:color w:val="auto"/>
        </w:rPr>
        <w:t>As permitted under the rules of the SEC, this prospectus incorporates important business information about Biohaven Ltd. that is contained in documents that we file with the SEC, but that is not included in or delivered with this prospectus. You may obtain copies of these documents, without charge, from the website maintained by the SEC at www.sec.gov, as well as other sources. See “Where You Can Find Additional Information.” Before purchasing any securities, you should carefully read both this prospectus and any prospectus supplement, together with the additional information described under the headings “Where You Can Find Additional Information” and “Incorporation of Certain Information By Reference.”</w:t>
      </w:r>
    </w:p>
    <w:p>
      <w:pPr>
        <w:spacing w:after="0" w:line="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Neither we, any selling shareholders nor any underwriters, agents or dealers have authorized any other person to provide you with information other than the information contained or incorporated by reference in this prospectus, any prospectus supplement and any free writing prospectus prepared by or on behalf of us or to which we have referred you. Neither we, any selling shareholders nor any underwriters take any responsibility for, or can provide assurance as to the reliability of, any other information that others may give you. You should assume that the information contained in this prospectus, any prospectus supplement or any free writing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We are not making offers to sell the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or unless the context requires otherwise, all references in this prospectus to “Biohaven”, “the Company”, “we”, “us”, “our” or similar references mean Biohaven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60"/>
          </w:cols>
          <w:pgMar w:left="300" w:top="1279"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“forward-looking statements” that involve risks and uncertainties. We make such forward-looking statements pursuant to the safe harbor provisions of the U.S. Private Securities Litigation Reform Act of 1995 and other federal securities laws. All statements other than statements of historical facts contained in this prospectus and the documents incorporated by reference herein, including statements regarding our future results of operations and financial position, strategy and plans for our business, and our expectations for future operations, are forward-looking statements. In some cases, you can identify forward-looking statements by terminology such as “believe,” “may,” “will,” “estimate,” “continue,” “anticipate,” “design,” “intend,” “expect,” “could,” “plan,” “potential,” “predict,” “seek,” “should,” “would” or the negative of these terms or other comparable terminology. Forward-looking statements are not guarantees of future performance and are based on certain assumptions, discuss current expectations and projections about future events, describe plans and strategies or state other forward-looking information. These forward-looking statements include, but are not limited to, statements about:</w:t>
      </w:r>
    </w:p>
    <w:p>
      <w:pPr>
        <w:spacing w:after="0" w:line="102" w:lineRule="exact"/>
        <w:rPr>
          <w:sz w:val="20"/>
          <w:szCs w:val="20"/>
          <w:color w:val="auto"/>
        </w:rPr>
      </w:pPr>
    </w:p>
    <w:p>
      <w:pPr>
        <w:ind w:left="520" w:hanging="257"/>
        <w:spacing w:after="0" w:line="291" w:lineRule="auto"/>
        <w:tabs>
          <w:tab w:leader="none" w:pos="51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ongoing and planned clinical trials, including discovery and proof-of-concept trials, the status of our ongoing clinical trials, commencement dates for new clinical trials, and the timing of clinical trial results;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pursue research and development of product candidates;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future milestones, contingent and royalty payments and lease payments (and, in each case, their expected impact on liquidity);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 and strategy;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regarding future revenues, expenses and needs for additional financing.</w:t>
      </w:r>
    </w:p>
    <w:p>
      <w:pPr>
        <w:spacing w:after="0" w:line="139" w:lineRule="exact"/>
        <w:rPr>
          <w:sz w:val="20"/>
          <w:szCs w:val="20"/>
          <w:color w:val="auto"/>
        </w:rPr>
      </w:pPr>
    </w:p>
    <w:p>
      <w:pPr>
        <w:jc w:val="both"/>
        <w:ind w:right="80"/>
        <w:spacing w:after="0" w:line="273" w:lineRule="auto"/>
        <w:rPr>
          <w:sz w:val="20"/>
          <w:szCs w:val="20"/>
          <w:color w:val="auto"/>
        </w:rPr>
      </w:pPr>
      <w:r>
        <w:rPr>
          <w:rFonts w:ascii="Times New Roman" w:cs="Times New Roman" w:eastAsia="Times New Roman" w:hAnsi="Times New Roman"/>
          <w:sz w:val="14"/>
          <w:szCs w:val="14"/>
          <w:color w:val="auto"/>
        </w:rPr>
        <w:t>Important factors that could cause actual results of operations, financial condition and liquidity, the development of the industry in which we operate and the timing of certain events, among other things, to differ materially from those discussed, projected, anticipated, indicated or reflected in such forward-looking statements and that should be considered in evaluating our outlook include, but are not limited to, the following:</w:t>
      </w:r>
    </w:p>
    <w:p>
      <w:pPr>
        <w:spacing w:after="0" w:line="93" w:lineRule="exact"/>
        <w:rPr>
          <w:sz w:val="20"/>
          <w:szCs w:val="20"/>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business combinations or disposals;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additional collaborations with third parties;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and our ability to obtain and maintain regulatory approvals for our product candidates;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position;</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products or product candidates, and our estimates regarding the potential market opportunity for our product candidates;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including our competitors and competing products (including biosimilars);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economic conditions, including volatility in interest rates and inflation, on the costs of raw materials, wages, manufacturing and clinical trials and on borrowing costs;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anticipated amounts of future tax payments and benefits (including the potential recognition of unrecognized tax benefits), as well as timing of conclusion of tax audits;</w:t>
      </w:r>
    </w:p>
    <w:p>
      <w:pPr>
        <w:spacing w:after="0" w:line="138" w:lineRule="exact"/>
        <w:rPr>
          <w:rFonts w:ascii="Times New Roman" w:cs="Times New Roman" w:eastAsia="Times New Roman" w:hAnsi="Times New Roman"/>
          <w:sz w:val="14"/>
          <w:szCs w:val="14"/>
          <w:color w:val="auto"/>
        </w:rPr>
      </w:pPr>
    </w:p>
    <w:p>
      <w:pPr>
        <w:ind w:left="520" w:right="80" w:hanging="257"/>
        <w:spacing w:after="0" w:line="291"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disruptions at the U.S. Food and Drug Administration (FDA) and other government agencies that could prevent new products from being developed or commercialized in a timely manner, or negatively impact the approval of a New Drug Application (NDA), Biologics License Application (BLA) or similar application;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00"/>
          </w:cols>
          <w:pgMar w:left="300" w:top="1279" w:right="399" w:bottom="1440" w:gutter="0" w:footer="0" w:header="0"/>
        </w:sectPr>
      </w:pPr>
    </w:p>
    <w:bookmarkStart w:id="5" w:name="page6"/>
    <w:bookmarkEnd w:id="5"/>
    <w:p>
      <w:pPr>
        <w:ind w:left="520" w:hanging="257"/>
        <w:spacing w:after="0" w:line="29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identified elsewhere in this prospectus or in our filings with the SEC that are incorporated by reference herein, including those factors described in our Annual Report on Form 10-K for the year ended December 31, 2025.</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Any forward-looking statements in this prospectus or the documents incorporated by reference herein reflect our current views as of the date of this prospectus or the incorporated document with respect to future events and with respect to our future financial performance and involve known and unknown risks, uncertainties and other factors that may cause our actual results of operations, financial condition and liquidity, performance or achievements, the development of the industry in which we operate and the timing of certain events, among other things, to be materially different from any future results of operations, financial condition and liquidity, performance or achievements discussed, projected, anticipated, indicated, expressed or implied by these forward-looking statements. Factors that may cause actual results to differ materially from current expectations include, among other things, those described under “Risk Factors” and elsewhere in this prospectus. Given these uncertainties, you should not place undue reliance on any forward-looking statements. Except as required by law, we assume no obligation to update or revise any forward-looking statements for any reason, even if new information becomes available in the future.</w:t>
      </w:r>
    </w:p>
    <w:p>
      <w:pPr>
        <w:spacing w:after="0" w:line="1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herein contain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analyses that may, in the future, not prove to have been accurate.</w:t>
      </w:r>
    </w:p>
    <w:p>
      <w:pPr>
        <w:spacing w:after="0" w:line="102"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4"/>
          <w:szCs w:val="14"/>
          <w:color w:val="auto"/>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281"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are subject to the information reporting requirements of the Securities Exchange Act of 1934, as amended (the “Exchange Act”), and we have filed and will file reports, proxy statements and other information with the SEC. These reports, proxy statements and other information are available on the SEC’s website at http://www.sec.gov. We also maintain a website at www.biohaven.com,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w:t>
      </w:r>
    </w:p>
    <w:p>
      <w:pPr>
        <w:spacing w:after="0" w:line="9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and does not contain all of the information in the registration statement. The full registration statement may be obtained from the SEC or us, as provided in “Incorporation of Certain Information by Reference”. Documents establishing the terms of the offered securities are or may be filed as exhibits to the registration statement. Statements in this prospectus and any accompanying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or our website,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279"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4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4"/>
          <w:szCs w:val="14"/>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the information or documents listed below that we have filed with the SEC (File No. 001-41477):</w:t>
      </w:r>
    </w:p>
    <w:p>
      <w:pPr>
        <w:spacing w:after="0" w:line="93" w:lineRule="exact"/>
        <w:rPr>
          <w:sz w:val="20"/>
          <w:szCs w:val="20"/>
          <w:color w:val="auto"/>
        </w:rPr>
      </w:pPr>
    </w:p>
    <w:p>
      <w:pPr>
        <w:ind w:left="520" w:hanging="257"/>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fiscal year ended </w:t>
      </w:r>
      <w:hyperlink r:id="rId21">
        <w:r>
          <w:rPr>
            <w:rFonts w:ascii="Times New Roman" w:cs="Times New Roman" w:eastAsia="Times New Roman" w:hAnsi="Times New Roman"/>
            <w:sz w:val="14"/>
            <w:szCs w:val="14"/>
            <w:u w:val="single" w:color="auto"/>
            <w:color w:val="0000FF"/>
          </w:rPr>
          <w:t>December 31, 2025</w:t>
        </w:r>
      </w:hyperlink>
      <w:r>
        <w:rPr>
          <w:rFonts w:ascii="Times New Roman" w:cs="Times New Roman" w:eastAsia="Times New Roman" w:hAnsi="Times New Roman"/>
          <w:sz w:val="14"/>
          <w:szCs w:val="14"/>
          <w:color w:val="auto"/>
        </w:rPr>
        <w:t>;</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Form 10-Q for the quarterly period ended </w:t>
      </w:r>
      <w:hyperlink r:id="rId22">
        <w:r>
          <w:rPr>
            <w:rFonts w:ascii="Times New Roman" w:cs="Times New Roman" w:eastAsia="Times New Roman" w:hAnsi="Times New Roman"/>
            <w:sz w:val="14"/>
            <w:szCs w:val="14"/>
            <w:u w:val="single" w:color="auto"/>
            <w:color w:val="0000FF"/>
          </w:rPr>
          <w:t>March 31, 2026</w:t>
        </w:r>
      </w:hyperlink>
      <w:r>
        <w:rPr>
          <w:rFonts w:ascii="Times New Roman" w:cs="Times New Roman" w:eastAsia="Times New Roman" w:hAnsi="Times New Roman"/>
          <w:sz w:val="14"/>
          <w:szCs w:val="14"/>
          <w:color w:val="auto"/>
        </w:rPr>
        <w:t>;</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23">
        <w:r>
          <w:rPr>
            <w:rFonts w:ascii="Times New Roman" w:cs="Times New Roman" w:eastAsia="Times New Roman" w:hAnsi="Times New Roman"/>
            <w:sz w:val="14"/>
            <w:szCs w:val="14"/>
            <w:u w:val="single" w:color="auto"/>
            <w:color w:val="0000FF"/>
          </w:rPr>
          <w:t>January 7,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4">
        <w:r>
          <w:rPr>
            <w:rFonts w:ascii="Times New Roman" w:cs="Times New Roman" w:eastAsia="Times New Roman" w:hAnsi="Times New Roman"/>
            <w:sz w:val="14"/>
            <w:szCs w:val="14"/>
            <w:u w:val="single" w:color="auto"/>
            <w:color w:val="0000FF"/>
          </w:rPr>
          <w:t>May 4,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(Accession No. 0001935979-26-000042); and</w:t>
      </w:r>
    </w:p>
    <w:p>
      <w:pPr>
        <w:spacing w:after="0" w:line="138" w:lineRule="exact"/>
        <w:rPr>
          <w:rFonts w:ascii="Times New Roman" w:cs="Times New Roman" w:eastAsia="Times New Roman" w:hAnsi="Times New Roman"/>
          <w:sz w:val="14"/>
          <w:szCs w:val="14"/>
          <w:color w:val="auto"/>
        </w:rPr>
      </w:pPr>
    </w:p>
    <w:p>
      <w:pPr>
        <w:ind w:left="520" w:right="140" w:hanging="257"/>
        <w:spacing w:after="0" w:line="29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shares included in </w:t>
      </w:r>
      <w:hyperlink r:id="rId25">
        <w:r>
          <w:rPr>
            <w:rFonts w:ascii="Times New Roman" w:cs="Times New Roman" w:eastAsia="Times New Roman" w:hAnsi="Times New Roman"/>
            <w:sz w:val="14"/>
            <w:szCs w:val="14"/>
            <w:u w:val="single" w:color="auto"/>
            <w:color w:val="0000FF"/>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and any amendments or reports filed with the SEC for the purpose of updating the description.</w:t>
      </w:r>
    </w:p>
    <w:p>
      <w:pPr>
        <w:spacing w:after="0" w:line="81" w:lineRule="exact"/>
        <w:rPr>
          <w:rFonts w:ascii="Times New Roman" w:cs="Times New Roman" w:eastAsia="Times New Roman" w:hAnsi="Times New Roman"/>
          <w:sz w:val="14"/>
          <w:szCs w:val="14"/>
          <w:color w:val="auto"/>
        </w:rPr>
      </w:pPr>
    </w:p>
    <w:p>
      <w:pPr>
        <w:ind w:right="340"/>
        <w:spacing w:after="0" w:line="291" w:lineRule="auto"/>
        <w:rPr>
          <w:sz w:val="20"/>
          <w:szCs w:val="20"/>
          <w:color w:val="auto"/>
        </w:rPr>
      </w:pPr>
      <w:r>
        <w:rPr>
          <w:rFonts w:ascii="Times New Roman" w:cs="Times New Roman" w:eastAsia="Times New Roman" w:hAnsi="Times New Roman"/>
          <w:sz w:val="14"/>
          <w:szCs w:val="14"/>
          <w:color w:val="auto"/>
        </w:rPr>
        <w:t>We are also incorporating by reference any future filings that we make with the SEC under Section 13(a), 13(c), 14 or 15(d) of the Exchange Act after the date of this prospectus until all of the offerings by means of this prospectus are complete.</w:t>
      </w:r>
    </w:p>
    <w:p>
      <w:pPr>
        <w:spacing w:after="0" w:line="81" w:lineRule="exact"/>
        <w:rPr>
          <w:rFonts w:ascii="Times New Roman" w:cs="Times New Roman" w:eastAsia="Times New Roman" w:hAnsi="Times New Roman"/>
          <w:sz w:val="14"/>
          <w:szCs w:val="14"/>
          <w:color w:val="auto"/>
        </w:rPr>
      </w:pPr>
    </w:p>
    <w:p>
      <w:pPr>
        <w:ind w:right="440"/>
        <w:spacing w:after="0" w:line="291" w:lineRule="auto"/>
        <w:rPr>
          <w:sz w:val="20"/>
          <w:szCs w:val="20"/>
          <w:color w:val="auto"/>
        </w:rPr>
      </w:pPr>
      <w:r>
        <w:rPr>
          <w:rFonts w:ascii="Times New Roman" w:cs="Times New Roman" w:eastAsia="Times New Roman" w:hAnsi="Times New Roman"/>
          <w:sz w:val="14"/>
          <w:szCs w:val="14"/>
          <w:color w:val="auto"/>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spacing w:after="0" w:line="81" w:lineRule="exact"/>
        <w:rPr>
          <w:rFonts w:ascii="Times New Roman" w:cs="Times New Roman" w:eastAsia="Times New Roman" w:hAnsi="Times New Roman"/>
          <w:sz w:val="14"/>
          <w:szCs w:val="14"/>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will furnish without charge to you, on written or oral request, a copy of any or all of the documents incorporated by reference in this prospectus, including exhibits to these documents. You should direct any requests for documents either in writing to Biohaven Ltd., Attn: Corporate Secretary, c/o Biohaven Pharmaceuticals, Inc., 215 Church Street, New Haven, Connecticut 06510 or by calling us at (203) 404-0410.</w:t>
      </w:r>
    </w:p>
    <w:p>
      <w:pPr>
        <w:spacing w:after="0" w:line="93" w:lineRule="exact"/>
        <w:rPr>
          <w:rFonts w:ascii="Times New Roman" w:cs="Times New Roman" w:eastAsia="Times New Roman" w:hAnsi="Times New Roman"/>
          <w:sz w:val="14"/>
          <w:szCs w:val="14"/>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You also may access these filings on our website at www.biohaven.com.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w:t>
      </w:r>
    </w:p>
    <w:p>
      <w:pPr>
        <w:spacing w:after="0" w:line="81" w:lineRule="exact"/>
        <w:rPr>
          <w:rFonts w:ascii="Times New Roman" w:cs="Times New Roman" w:eastAsia="Times New Roman" w:hAnsi="Times New Roman"/>
          <w:sz w:val="14"/>
          <w:szCs w:val="14"/>
          <w:color w:val="auto"/>
        </w:rPr>
      </w:pPr>
    </w:p>
    <w:p>
      <w:pPr>
        <w:ind w:right="140"/>
        <w:spacing w:after="0" w:line="291"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279" w:right="31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An investment in our securities offered by this prospectus involves risks. You should carefully consider the risk factors incorporated by reference to our Annual Report on Form 10-K for the year ended December 31, 2025 and the other information contained in this prospectus, as updated by our subsequent filings under the Exchange Act, before purchasing any of our securities. See “Where You Can Find Additional Information” for information about how to obtain a copy of these documents. You should also carefully consider the risks and other information that may be contained in, or incorporated by reference into, any prospectus supplement relating to a specific offering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00" w:top="1279" w:right="35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4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We are a biopharmaceutical company focused on the discovery, development and commercialization of life-changing treatments in key therapeutic areas, including immunology, obesity, neuroscience and oncology. We are advancing our innovative portfolio of therapeutics, leveraging our proven drug development experience and multiple, proprietary drug development platforms.</w:t>
      </w:r>
    </w:p>
    <w:p>
      <w:pPr>
        <w:spacing w:after="0" w:line="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are a business company limited by shares incorporated under the laws of the British Virgin Islands. Our registered office is located at Kingston Chambers, P.O. Box 173, Road Town, Tortola, British Virgin Islands, and our telephone number is +1 (284) 852-3000. Our U.S. subsidiary’s office is located at 215 Church Street, New Haven, Connecticut 06510 and telephone number is (203) 404-0410. Our website address is www.biohaven.com.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180"/>
          </w:cols>
          <w:pgMar w:left="300" w:top="1279" w:right="419" w:bottom="1440" w:gutter="0" w:footer="0" w:header="0"/>
        </w:sectPr>
      </w:pPr>
    </w:p>
    <w:bookmarkStart w:id="10" w:name="page11"/>
    <w:bookmarkEnd w:id="10"/>
    <w:p>
      <w:pPr>
        <w:ind w:left="498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use the net proceeds from the sale of our securities offered by us for general corporate purposes unless otherwise specified in the applicable prospectus supplement.</w:t>
      </w:r>
    </w:p>
    <w:p>
      <w:pPr>
        <w:spacing w:after="0" w:line="13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We will not receive any of the proceeds from the sale of common shares by any selling shareholder. We will pay all of the fees and expenses incurred in connection with the registration of the common shares. We will not bear any underwriting discounts and selling commissions or similar selling expenses incurred in connection with the offering of the common shares by any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940"/>
          </w:cols>
          <w:pgMar w:left="300" w:top="1279" w:right="6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SHARE CAPITAL</w:t>
      </w:r>
    </w:p>
    <w:p>
      <w:pPr>
        <w:spacing w:after="0" w:line="13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i w:val="1"/>
          <w:iCs w:val="1"/>
          <w:color w:val="auto"/>
        </w:rPr>
        <w:t>The following descriptions are summaries of the material terms of our Amended Memorandum and Articles of Association. Reference is made to the more detailed provisions of, and the descriptions are qualified in their entirety by reference to, the Amended Memorandum and Articles of Association. Please note that this summary is not intended to be exhaustive. For further information, please refer to the full version of our Amended Memorandum and Articles of Association, which is included as an exhibit to the registration statement of which this prospectus is part.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color w:val="auto"/>
        </w:rPr>
        <w:t>We are a British Virgin Islands (“BVI”) business company limited by shares incorporated in the BVI on May 2, 2022, and our affairs are governed by the provisions of our Amended Memorandum and Articles of Association and by the BVI Business Companies Act (As Revised) (the “BVI Act”).</w:t>
      </w:r>
    </w:p>
    <w:p>
      <w:pPr>
        <w:spacing w:after="0" w:line="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As provided in our Amended Memorandum and Articles of Association, subject to the BVI Act, we have full capacity to carry on or undertake any business or activity, do any act or enter into any transaction, and, for such purposes, full rights, powers and privileges. Our registered office is c/o Maples Corporate Services (BVI) Limited, Kingston Chambers, P.O. Box 173, Road Town, Tortola, British Virgin Islands.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Shares</w:t>
      </w:r>
    </w:p>
    <w:p>
      <w:pPr>
        <w:spacing w:after="0" w:line="141"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4"/>
          <w:szCs w:val="14"/>
          <w:color w:val="auto"/>
        </w:rPr>
        <w:t>Our Amended Memorandum and Articles of Association authorize us to issue up to 200,000,000 common shares, no par value, and up to 10,000,000 preferred shares, no par value (the “Preferred Shares”). Our board of directors (the “Board”) may establish the rights and preferences of the Preferred Shares from time to time. As of April 30, 2026, we had 150,560,990 common shares issued and outstanding, held of record by 49 shareholders, and no Preferred Shares issued.</w:t>
      </w:r>
    </w:p>
    <w:p>
      <w:pPr>
        <w:spacing w:after="0" w:line="93" w:lineRule="exact"/>
        <w:rPr>
          <w:sz w:val="20"/>
          <w:szCs w:val="20"/>
          <w:color w:val="auto"/>
        </w:rPr>
      </w:pPr>
    </w:p>
    <w:p>
      <w:pPr>
        <w:ind w:right="140"/>
        <w:spacing w:after="0" w:line="445" w:lineRule="auto"/>
        <w:rPr>
          <w:sz w:val="20"/>
          <w:szCs w:val="20"/>
          <w:color w:val="auto"/>
        </w:rPr>
      </w:pPr>
      <w:r>
        <w:rPr>
          <w:rFonts w:ascii="Times New Roman" w:cs="Times New Roman" w:eastAsia="Times New Roman" w:hAnsi="Times New Roman"/>
          <w:sz w:val="14"/>
          <w:szCs w:val="14"/>
          <w:color w:val="auto"/>
        </w:rPr>
        <w:t xml:space="preserve">The following are summaries of material provisions of our Amended Memorandum and Articles of Association and the BVI Act insofar as they relate to the material terms of our common shares. </w:t>
      </w:r>
      <w:r>
        <w:rPr>
          <w:rFonts w:ascii="Times New Roman" w:cs="Times New Roman" w:eastAsia="Times New Roman" w:hAnsi="Times New Roman"/>
          <w:sz w:val="14"/>
          <w:szCs w:val="14"/>
          <w:b w:val="1"/>
          <w:bCs w:val="1"/>
          <w:color w:val="auto"/>
        </w:rPr>
        <w:t>Common Shares</w:t>
      </w:r>
    </w:p>
    <w:p>
      <w:pPr>
        <w:spacing w:after="0" w:line="1"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The maximum number of shares we are authorized to issue is 210,000,000 divided into 200,000,000 common shares, with no par value, and 10,000,000 Preferred Shares, with no par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value. Holders of common shares have the same rights. All of our outstanding common shares are fully paid and non-assessable.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Amended Memorandum and Articles of Association do not provide for pre-emptive rights.</w:t>
      </w:r>
    </w:p>
    <w:p>
      <w:pPr>
        <w:spacing w:after="0" w:line="13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The holders of our common shares are entitled to an equal share of such dividends, as may be declared by our Board subject to the BVI Act. Our Amended Memorandum and Articles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Association provide that dividends may be declared and paid at such time, and in such an amount, as the directors determine. Under the BVI Act, the directors must be satisfied that the Company will meet the statutory solvency test immediately after the dividend.</w:t>
      </w:r>
    </w:p>
    <w:p>
      <w:pPr>
        <w:spacing w:after="0" w:line="9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In respect of all matters subject to a shareholders’ vote, each common share is entitled to one vote for each common share registered in his or her name on our register of shareholders.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common shares shall at all times vote together on all resolutions submitted to a vote of the shareholders. Voting at any meeting of shareholders is by show of hands unless a poll is demanded. A poll may be demanded by the chairperson of such meeting or any one shareholder.</w:t>
      </w:r>
    </w:p>
    <w:p>
      <w:pPr>
        <w:spacing w:after="0" w:line="9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4"/>
          <w:szCs w:val="14"/>
          <w:color w:val="auto"/>
        </w:rPr>
        <w:t>A quorum required for a meeting of shareholders consists of at least 50% of the votes of the shares or class or series of shares entitled to vote present in person or by proxy at the meeting or, if a corporation or other non-natural person, by its duly authorized representative. Shareholders’ meetings for, amongst other things, the election of directors must be held annually. Each general meeting, other than an annual general meeting, shall be an extraordinary general meeting. Directors may call general meetings, and they shall on a shareholders’ requisition forthwith proceed to convene an extraordinary general meeting of the Company. Extraordinary general meetings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79" w:right="319" w:bottom="1440" w:gutter="0" w:footer="0" w:header="0"/>
        </w:sectPr>
      </w:pPr>
    </w:p>
    <w:bookmarkStart w:id="12" w:name="page13"/>
    <w:bookmarkEnd w:id="12"/>
    <w:p>
      <w:pPr>
        <w:ind w:right="100"/>
        <w:spacing w:after="0" w:line="267" w:lineRule="auto"/>
        <w:rPr>
          <w:sz w:val="20"/>
          <w:szCs w:val="20"/>
          <w:color w:val="auto"/>
        </w:rPr>
      </w:pPr>
      <w:r>
        <w:rPr>
          <w:rFonts w:ascii="Times New Roman" w:cs="Times New Roman" w:eastAsia="Times New Roman" w:hAnsi="Times New Roman"/>
          <w:sz w:val="14"/>
          <w:szCs w:val="14"/>
          <w:color w:val="auto"/>
        </w:rPr>
        <w:t>the shareholders of the Company may be called, for any purpose as is a proper matter for shareholder action under applicable BVI law, by (i) the Chairperson of the Board, (ii) the Chief Executive Officer, (iii) the directors pursuant to a resolution of directors or (iv) by shareholders holding not less than 10% of the votes of the outstanding voting shares entitled to vote at the meeting. The directors shall determine the time and place, if any, of such general meeting. Advance notice of not less than 10 and not more than 60 days is required for the convening of our annual general meeting and other general meetings unless such notice is waived in accordance with our Amended Memorandum and Articles of Association.</w:t>
      </w:r>
    </w:p>
    <w:p>
      <w:pPr>
        <w:spacing w:after="0" w:line="96"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4"/>
          <w:szCs w:val="14"/>
          <w:i w:val="1"/>
          <w:iCs w:val="1"/>
          <w:color w:val="auto"/>
        </w:rPr>
        <w:t>Appointment and Removal of Directors</w:t>
      </w:r>
      <w:r>
        <w:rPr>
          <w:rFonts w:ascii="Times New Roman" w:cs="Times New Roman" w:eastAsia="Times New Roman" w:hAnsi="Times New Roman"/>
          <w:sz w:val="14"/>
          <w:szCs w:val="14"/>
          <w:color w:val="auto"/>
        </w:rPr>
        <w:t>. In accordance with our Amended Memorandum and Articles of Association, any director may be appointed by resolution of shareholders and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removed, with cause, by the affirmative vote of at least sixty-six and two-thirds percent (66 2/3%) of the votes of the common shares entitled to vote.</w:t>
      </w:r>
    </w:p>
    <w:p>
      <w:pPr>
        <w:spacing w:after="0" w:line="77"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4"/>
          <w:szCs w:val="14"/>
          <w:i w:val="1"/>
          <w:iCs w:val="1"/>
          <w:color w:val="auto"/>
        </w:rPr>
        <w:t>Transfer of Common Shares</w:t>
      </w:r>
      <w:r>
        <w:rPr>
          <w:rFonts w:ascii="Times New Roman" w:cs="Times New Roman" w:eastAsia="Times New Roman" w:hAnsi="Times New Roman"/>
          <w:sz w:val="14"/>
          <w:szCs w:val="14"/>
          <w:color w:val="auto"/>
        </w:rPr>
        <w:t>. Under the BVI Act shares that are listed on a recognized exchange may be transferred without the need for a written instrument of transfer if the transfer is carried out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accordance with the laws, rules, procedures and other requirements applicable to shares listed on the recognized exchange and subject to the Company’s Amended Memorandum and Articles of Association.</w:t>
      </w:r>
    </w:p>
    <w:p>
      <w:pPr>
        <w:spacing w:after="0" w:line="9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Under our Amended Memorandum and Articles of Association, our Board may refuse or delay the registration of a transfer of shares where it reasonably determines that it is in the best interest of the Company to do so. Without limiting the generality of the foregoing, our Board may refuse or delay the registration of a transfer of shares if the transferor has failed to pay an amount due in respect of those shares. Where our Board passes a resolution to refuse or delay the registration of a transfer, the Company shall, as soon as practicable, send the transferor and the transferee a notice of the refusal or delay.</w:t>
      </w:r>
    </w:p>
    <w:p>
      <w:pPr>
        <w:spacing w:after="0" w:line="96"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i w:val="1"/>
          <w:iCs w:val="1"/>
          <w:color w:val="auto"/>
        </w:rPr>
        <w:t>Liquidation</w:t>
      </w:r>
      <w:r>
        <w:rPr>
          <w:rFonts w:ascii="Times New Roman" w:cs="Times New Roman" w:eastAsia="Times New Roman" w:hAnsi="Times New Roman"/>
          <w:sz w:val="14"/>
          <w:szCs w:val="14"/>
          <w:color w:val="auto"/>
        </w:rPr>
        <w:t>. On a liquidation or winding up of the Company, assets available for distribution among the holders of common shares shall be distributed among the holders of the common shares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 rata basis.</w:t>
      </w:r>
    </w:p>
    <w:p>
      <w:pPr>
        <w:spacing w:after="0" w:line="77"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4"/>
          <w:szCs w:val="14"/>
          <w:i w:val="1"/>
          <w:iCs w:val="1"/>
          <w:color w:val="auto"/>
        </w:rPr>
        <w:t>Calls on Common Shares and Forfeiture of Common Shares</w:t>
      </w:r>
      <w:r>
        <w:rPr>
          <w:rFonts w:ascii="Times New Roman" w:cs="Times New Roman" w:eastAsia="Times New Roman" w:hAnsi="Times New Roman"/>
          <w:sz w:val="14"/>
          <w:szCs w:val="14"/>
          <w:color w:val="auto"/>
        </w:rPr>
        <w:t>. Our Board may from time to time make calls upon shareholders for any amounts unpaid on their common shares in a notice served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shareholders at least 14 clear days prior to the specified time of payment. The common shares that have been called upon and remain unpaid are subject to forfeiture.</w:t>
      </w:r>
    </w:p>
    <w:p>
      <w:pPr>
        <w:spacing w:after="0" w:line="77"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4"/>
          <w:szCs w:val="14"/>
          <w:i w:val="1"/>
          <w:iCs w:val="1"/>
          <w:color w:val="auto"/>
        </w:rPr>
        <w:t>Redemption of Common Shares</w:t>
      </w:r>
      <w:r>
        <w:rPr>
          <w:rFonts w:ascii="Times New Roman" w:cs="Times New Roman" w:eastAsia="Times New Roman" w:hAnsi="Times New Roman"/>
          <w:sz w:val="14"/>
          <w:szCs w:val="14"/>
          <w:color w:val="auto"/>
        </w:rPr>
        <w:t>. The BVI Act and our Amended Memorandum and Articles of Association permit us to purchase our own shares with the prior written consent of the relevant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on such terms and in such manner as may be determined by our Board and by a resolution of directors and in accordance with the BVI Act.</w:t>
      </w:r>
    </w:p>
    <w:p>
      <w:pPr>
        <w:spacing w:after="0" w:line="7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i w:val="1"/>
          <w:iCs w:val="1"/>
          <w:color w:val="auto"/>
        </w:rPr>
        <w:t>Variation of Rights of Shares</w:t>
      </w:r>
      <w:r>
        <w:rPr>
          <w:rFonts w:ascii="Times New Roman" w:cs="Times New Roman" w:eastAsia="Times New Roman" w:hAnsi="Times New Roman"/>
          <w:sz w:val="14"/>
          <w:szCs w:val="14"/>
          <w:color w:val="auto"/>
        </w:rPr>
        <w:t>. Other than with respect to the issuance of the Preferred Shares in accordance with our Amended Memorandum and Articles of Association, all or any of the rights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issuance of further shares ranking pari passu with or superior to such existing class of shares.</w:t>
      </w:r>
    </w:p>
    <w:p>
      <w:pPr>
        <w:spacing w:after="0" w:line="9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i w:val="1"/>
          <w:iCs w:val="1"/>
          <w:color w:val="auto"/>
        </w:rPr>
        <w:t>Issuance of Additional Shares</w:t>
      </w:r>
      <w:r>
        <w:rPr>
          <w:rFonts w:ascii="Times New Roman" w:cs="Times New Roman" w:eastAsia="Times New Roman" w:hAnsi="Times New Roman"/>
          <w:sz w:val="14"/>
          <w:szCs w:val="14"/>
          <w:color w:val="auto"/>
        </w:rPr>
        <w:t>. Our Amended Memorandum of Association authorizes our Board to issue additional common shares from time to time as our Board shall determine. However,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BVI law, our directors may only exercise the rights and powers granted to them under our Amended Memorandum and Articles of Association for a proper purpose and for what they believe in good faith to be in the best interests of our Company.</w:t>
      </w:r>
    </w:p>
    <w:p>
      <w:pPr>
        <w:spacing w:after="0" w:line="9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i w:val="1"/>
          <w:iCs w:val="1"/>
          <w:color w:val="auto"/>
        </w:rPr>
        <w:t>Inspection of Books and Records</w:t>
      </w:r>
      <w:r>
        <w:rPr>
          <w:rFonts w:ascii="Times New Roman" w:cs="Times New Roman" w:eastAsia="Times New Roman" w:hAnsi="Times New Roman"/>
          <w:sz w:val="14"/>
          <w:szCs w:val="14"/>
          <w:color w:val="auto"/>
        </w:rPr>
        <w:t>. A shareholder of the Company is entitled, on giving written notice to the Company, to inspect (a) the memorandum and articles of association of the Company; (b)</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register of shareholders; (c) the register of directors; and (d) the minutes of meetings and resolutions of shareholders and of those classes of shareholders of which the holder is a shareholder; and to make copies of or take extracts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60"/>
          </w:cols>
          <w:pgMar w:left="300" w:top="1281" w:right="339" w:bottom="1440" w:gutter="0" w:footer="0" w:header="0"/>
        </w:sectPr>
      </w:pPr>
    </w:p>
    <w:bookmarkStart w:id="13" w:name="page14"/>
    <w:bookmarkEnd w:id="13"/>
    <w:p>
      <w:pPr>
        <w:jc w:val="both"/>
        <w:ind w:right="220"/>
        <w:spacing w:after="0" w:line="273" w:lineRule="auto"/>
        <w:rPr>
          <w:sz w:val="20"/>
          <w:szCs w:val="20"/>
          <w:color w:val="auto"/>
        </w:rPr>
      </w:pPr>
      <w:r>
        <w:rPr>
          <w:rFonts w:ascii="Times New Roman" w:cs="Times New Roman" w:eastAsia="Times New Roman" w:hAnsi="Times New Roman"/>
          <w:sz w:val="14"/>
          <w:szCs w:val="14"/>
          <w:color w:val="auto"/>
        </w:rPr>
        <w:t>documents and records. Subject to the Amended Memorandum and Articles of Association, the directors may, if they are satisfied that it would be contrary to the Company’s interests to allow a shareholder to inspect any document, or part of a document, specified in (b), (c) and (d) above, refuse to permit the shareholder to inspect the document or limit the inspection of the document, including limiting the making of copies or the taking of extracts from the records.</w:t>
      </w:r>
    </w:p>
    <w:p>
      <w:pPr>
        <w:spacing w:after="0" w:line="93"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4"/>
          <w:szCs w:val="14"/>
          <w:color w:val="auto"/>
        </w:rPr>
        <w:t>Where a company fails or refuses to permit a shareholder to inspect a document or permits a shareholder to inspect a document subject to limitations, that shareholder may apply to the BVI High Court for an order that he or she should be permitted to inspect the document or to inspect the document without limitation.</w:t>
      </w:r>
    </w:p>
    <w:p>
      <w:pPr>
        <w:spacing w:after="0" w:line="8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A company is required to keep at the office of its registered agent: its memorandum and articles of association of the company; the register of shareholders or a copy of the register of shareholders; the register of directors or a copy of the register of directors; and copies of all notices and other documents filed by the company in the previous ten years.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Shares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Our Amended Memorandum and Articles of Association provide that preferred shares may be issued from time to time in one or more series. Our Board is authorized to fix the voting rights, if any, designations, powers, preferences, the relative, participating, optional or other special rights and any qualifications, limitations and restrictions thereof, applicable to the shares of each series. Our Board is able to, without shareholder approval, issue preferred shares with voting and other rights that could adversely affect the voting power and other rights of the holders of the common shares and could have anti-takeover effects. The ability of our Board to issue preferred shares without shareholder approval could have the effect of delaying, deferring or preventing a change of control of us or the removal of existing management. We have no preferred shares issued and outstanding at the date hereof. Although we do not currently intend to issue any preferred shares, we cannot assure you that we will not do so in the future.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the Right to Own Shares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limitations on the right to own our common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Shareholder Ownership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provisions in the Amended Memorandum and Articles of Association governing the ownership threshold above which shareholder ownership must be disclosed.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Provisions</w:t>
      </w:r>
    </w:p>
    <w:p>
      <w:pPr>
        <w:spacing w:after="0" w:line="141"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4"/>
          <w:szCs w:val="14"/>
          <w:color w:val="auto"/>
        </w:rPr>
        <w:t>Some provisions of our Amended Memorandum and Articles of Association may discourage, delay or prevent a change of control of our company or management that shareholders may consider favorable, including provisions that:</w:t>
      </w:r>
    </w:p>
    <w:p>
      <w:pPr>
        <w:spacing w:after="0" w:line="81" w:lineRule="exact"/>
        <w:rPr>
          <w:sz w:val="20"/>
          <w:szCs w:val="20"/>
          <w:color w:val="auto"/>
        </w:rPr>
      </w:pPr>
    </w:p>
    <w:p>
      <w:pPr>
        <w:ind w:left="520" w:hanging="25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such that not all members of the Board are elected at one time;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allow the authorized number of our directors to be changed only by resolution of our Board;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manner in which shareholders can remove directors from the Board;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shareholder proposals that can be acted on at shareholder meetings and nominations to our Board;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shareholder actions must be effected at a duly called shareholder meeting and prohibit actions by our shareholders by written consent;</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ability of shareholders to requisition and convene general meetings of shareholders;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40"/>
          </w:cols>
          <w:pgMar w:left="300" w:top="1281" w:right="359" w:bottom="1440" w:gutter="0" w:footer="0" w:header="0"/>
        </w:sectPr>
      </w:pPr>
    </w:p>
    <w:bookmarkStart w:id="14" w:name="page15"/>
    <w:bookmarkEnd w:id="14"/>
    <w:p>
      <w:pPr>
        <w:ind w:left="520" w:right="80" w:hanging="257"/>
        <w:spacing w:after="0" w:line="27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to issue preferred shares in one or more series and to designate the price, rights, preferences, privileges and restrictions of such preferred shares without any further vote or action by our shareholders, which could be used to institute a shareholder rights plan, or so-called “poison pill,” that would work to dilute the stock ownership of a potential hostile acquirer, effectively preventing acquisitions that have not been approved by our Board.</w:t>
      </w:r>
    </w:p>
    <w:p>
      <w:pPr>
        <w:spacing w:after="0" w:line="93"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4"/>
          <w:szCs w:val="14"/>
          <w:color w:val="auto"/>
        </w:rPr>
        <w:t>However, under BVI law, our directors may only exercise the rights and powers granted to them under our Amended Memorandum and Articles of Association for a proper purpose and for what they believe in good faith to be in the best interests of our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Costs of Claim</w:t>
      </w:r>
    </w:p>
    <w:p>
      <w:pPr>
        <w:spacing w:after="0" w:line="14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Under our Amended Memorandum and Articles of Association, in the event that (i) any shareholder or prior shareholder (“Claiming Party”) initiates or asserts any claim or counterclaim (“Claim”) or joins, offers substantial assistance to or has a direct financial interest in any Claim against the Company or its subsidiaries, directors or shareholder (including any Claim purportedly filed on behalf of the Company or any shareholder), and (ii) the Claiming Party (or the third party that received substantial assistance from the Claiming Party or in whose Claim the Claiming Party had a direct financial interest) does not obtain a judgment on the merits that substantially achieves, in substance and amount, the full remedy sought, then each Claiming Party shall be obligated, jointly and severally, to reimburse the Company and any such shareholder or shareholders for all fees, costs and expenses of every kind and description (including, but not limited to, all reasonable attorneys’ fees and other litigation expenses) that the parties may incur in connection with such Claim.</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Differences in Corporate Law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BVI Act, and the other laws of the BVI, affecting BVI business companies like us and our shareholders differ from laws applicable to U.S. Delaware corporations and their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BVI Corporate Law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Arrangements</w:t>
      </w:r>
    </w:p>
    <w:p>
      <w:pPr>
        <w:spacing w:after="0" w:line="143"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4"/>
          <w:szCs w:val="14"/>
          <w:color w:val="auto"/>
        </w:rPr>
        <w:t>Under the BVI Act, two or more BVI companies or a BVI company and non-BVI company, each a “constituent company”, may merge or consolidate. The BVI Act provides for slightly different procedures depending on the nature of the parties to the merger.</w:t>
      </w:r>
    </w:p>
    <w:p>
      <w:pPr>
        <w:spacing w:after="0" w:line="81"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4"/>
          <w:szCs w:val="14"/>
          <w:color w:val="auto"/>
        </w:rPr>
        <w:t>A merger involves the merging of two or more companies into one of the constituent companies (to the merger) with one constituent company continuing in existence to become the surviving company post-merger. A consolidation involves two or more companies consolidating into a new company.</w:t>
      </w:r>
    </w:p>
    <w:p>
      <w:pPr>
        <w:spacing w:after="0" w:line="8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A merger is effective on the date that the articles of merger (as described below) are registered by the Registrar of Corporate Affairs in the BVI, or on such later date, not exceeding 30 days from the date of registration as is stated in the articles of merger.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soon as a merger becomes effective:</w:t>
      </w:r>
    </w:p>
    <w:p>
      <w:pPr>
        <w:spacing w:after="0" w:line="139" w:lineRule="exact"/>
        <w:rPr>
          <w:sz w:val="20"/>
          <w:szCs w:val="20"/>
          <w:color w:val="auto"/>
        </w:rPr>
      </w:pPr>
    </w:p>
    <w:p>
      <w:pPr>
        <w:ind w:left="520" w:right="120" w:hanging="257"/>
        <w:spacing w:after="0" w:line="291" w:lineRule="auto"/>
        <w:tabs>
          <w:tab w:leader="none" w:pos="5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company (so far as is consistent with its memorandum and articles, as amended by the articles of merger) has all rights, privileges, immunities, powers, objects and purposes of each of the constituent companies;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memorandum and articles of the surviving company are automatically amended to the extent, if any, that changes to its memorandum and articles are contained in the articles of merger;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assets of every description, including choses in action and the business of each of the constituent companies, immediately vest in the surviving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80"/>
          </w:cols>
          <w:pgMar w:left="300" w:top="1281" w:right="319" w:bottom="1440" w:gutter="0" w:footer="0" w:header="0"/>
        </w:sectPr>
      </w:pPr>
    </w:p>
    <w:bookmarkStart w:id="15" w:name="page16"/>
    <w:bookmarkEnd w:id="15"/>
    <w:p>
      <w:pPr>
        <w:ind w:left="520" w:hanging="257"/>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company is liable for all claims, debts, liabilities and obligations of each of the constituent companies;</w:t>
      </w:r>
    </w:p>
    <w:p>
      <w:pPr>
        <w:spacing w:after="0" w:line="138" w:lineRule="exact"/>
        <w:rPr>
          <w:rFonts w:ascii="Times New Roman" w:cs="Times New Roman" w:eastAsia="Times New Roman" w:hAnsi="Times New Roman"/>
          <w:sz w:val="14"/>
          <w:szCs w:val="14"/>
          <w:color w:val="auto"/>
        </w:rPr>
      </w:pPr>
    </w:p>
    <w:p>
      <w:pPr>
        <w:ind w:left="520" w:right="180" w:hanging="257"/>
        <w:spacing w:after="0" w:line="291" w:lineRule="auto"/>
        <w:tabs>
          <w:tab w:leader="none" w:pos="51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conviction, judgment, ruling, order, claim, debt, liability or obligation due or to become due, and no cause existing, against a constituent company or against any shareholder, director, officer or agent thereof, is released or impaired by the merger; and</w:t>
      </w:r>
    </w:p>
    <w:p>
      <w:pPr>
        <w:spacing w:after="0" w:line="80" w:lineRule="exact"/>
        <w:rPr>
          <w:rFonts w:ascii="Times New Roman" w:cs="Times New Roman" w:eastAsia="Times New Roman" w:hAnsi="Times New Roman"/>
          <w:sz w:val="14"/>
          <w:szCs w:val="14"/>
          <w:color w:val="auto"/>
        </w:rPr>
      </w:pPr>
    </w:p>
    <w:p>
      <w:pPr>
        <w:ind w:left="520" w:right="40" w:hanging="257"/>
        <w:spacing w:after="0" w:line="291" w:lineRule="auto"/>
        <w:tabs>
          <w:tab w:leader="none" w:pos="51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proceedings, whether civil or criminal, pending at the time of a merger by or against a constituent company, or against any shareholder, director or officer, or agent thereof, are abated or discontinued by the merger; but</w:t>
      </w:r>
    </w:p>
    <w:p>
      <w:pPr>
        <w:spacing w:after="0" w:line="80" w:lineRule="exact"/>
        <w:rPr>
          <w:rFonts w:ascii="Times New Roman" w:cs="Times New Roman" w:eastAsia="Times New Roman" w:hAnsi="Times New Roman"/>
          <w:sz w:val="14"/>
          <w:szCs w:val="14"/>
          <w:color w:val="auto"/>
        </w:rPr>
      </w:pPr>
    </w:p>
    <w:p>
      <w:pPr>
        <w:ind w:left="780" w:right="40" w:hanging="260"/>
        <w:spacing w:after="0" w:line="291" w:lineRule="auto"/>
        <w:tabs>
          <w:tab w:leader="none" w:pos="77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proceedings may be enforced, prosecuted, settled or compromised by or against the surviving company or against the shareholder, director, officer or agent thereof, as the case may be; or</w:t>
      </w:r>
    </w:p>
    <w:p>
      <w:pPr>
        <w:spacing w:after="0" w:line="80" w:lineRule="exact"/>
        <w:rPr>
          <w:rFonts w:ascii="Times New Roman" w:cs="Times New Roman" w:eastAsia="Times New Roman" w:hAnsi="Times New Roman"/>
          <w:sz w:val="14"/>
          <w:szCs w:val="14"/>
          <w:color w:val="auto"/>
        </w:rPr>
      </w:pPr>
    </w:p>
    <w:p>
      <w:pPr>
        <w:ind w:left="780" w:hanging="260"/>
        <w:spacing w:after="0"/>
        <w:tabs>
          <w:tab w:leader="none" w:pos="780"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surviving company may be substituted in the proceedings for a constituent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registrar shall strike off the Register of Companies a constituent company that is not the surviving company in the merger.</w:t>
      </w:r>
    </w:p>
    <w:p>
      <w:pPr>
        <w:spacing w:after="0" w:line="13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The BVI Act provides that any shareholder of the Company is entitled to payment of the fair value of his or her shares upon dissenting from a merger, unless the Company is the surviving company of the merger and the shareholder continues to hold the same or similar shares. The following is a summary of the position in respect of dissenters’ rights in the event of a merger under the BVI Act.</w:t>
      </w:r>
    </w:p>
    <w:p>
      <w:pPr>
        <w:spacing w:after="0" w:line="8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A dissenter is in most circumstances required to give to the Company written objection to the merger, which must include a statement that the dissenter proposes to demand payment for his or her shares if the merger takes place. This written objection must be given before the meeting of shareholders at which the merger is submitted to a vote, or at the meeting but before the vote. However, no objection is required from a shareholder to whom the Company did not give notice of the meeting of shareholders or where the proposed merger is authorized by written consent of the shareholders without a meeting.</w:t>
      </w:r>
    </w:p>
    <w:p>
      <w:pPr>
        <w:spacing w:after="0" w:line="98"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Within 20 days immediately following the written consent, or the meeting at which the merger was approved, the Company shall give written notice of the consent or resolution to each shareholder who gave written objection or from whom written objection was not required, except those shareholders who voted for, or consented in writing to, the proposed merger.</w:t>
      </w:r>
    </w:p>
    <w:p>
      <w:pPr>
        <w:spacing w:after="0" w:line="8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A shareholder to whom the Company was required to give notice who elects to dissent shall, within 20 days immediately following the date on which the copy of the plan of merger or an outline of the merger is given to him, give to the Company a written notice of his or her decision to elect to dissent, stating:</w:t>
      </w:r>
    </w:p>
    <w:p>
      <w:pPr>
        <w:spacing w:after="0" w:line="81" w:lineRule="exact"/>
        <w:rPr>
          <w:sz w:val="20"/>
          <w:szCs w:val="20"/>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 or her name and address;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classes of shares in respect of which he or she dissents (which must be all shares that he or she holds in the Company);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demand for payment of the fair value of his or her shares.</w:t>
      </w:r>
    </w:p>
    <w:p>
      <w:pPr>
        <w:spacing w:after="0" w:line="139"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Upon the giving of a notice of election to dissent, the dissenter ceases to have any of the rights of a shareholder except the right to be paid the fair value of his or her shares, and the right to institute proceedings to obtain relief on the ground that the action is illegal.</w:t>
      </w:r>
    </w:p>
    <w:p>
      <w:pPr>
        <w:spacing w:after="0" w:line="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The Company shall make a written offer to each dissenter to purchase his or her shares at a specified price that the Company determines to be their fair value. Such offer must be given within 7 days immediately following the date of the expiration of the period within which shareholders may give their notices of election to dissent, or within 7 days immediately following the date on which the merger is put into effect, whichever is later.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80"/>
          </w:cols>
          <w:pgMar w:left="300" w:top="1281"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If the Company and the dissenter fail, within 30 days immediately following the date on which the offer is made, to agree on the price to be paid for the shares owned by the dissenter, then within</w:t>
      </w:r>
    </w:p>
    <w:p>
      <w:pPr>
        <w:spacing w:after="0" w:line="24"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days:</w:t>
      </w:r>
    </w:p>
    <w:p>
      <w:pPr>
        <w:spacing w:after="0" w:line="125"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and the dissenter shall each designate an appraiser;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two designated appraisers together shall designate an appraiser;</w:t>
      </w:r>
    </w:p>
    <w:p>
      <w:pPr>
        <w:spacing w:after="0" w:line="138" w:lineRule="exact"/>
        <w:rPr>
          <w:rFonts w:ascii="Times New Roman" w:cs="Times New Roman" w:eastAsia="Times New Roman" w:hAnsi="Times New Roman"/>
          <w:sz w:val="14"/>
          <w:szCs w:val="14"/>
          <w:color w:val="auto"/>
        </w:rPr>
      </w:pPr>
    </w:p>
    <w:p>
      <w:pPr>
        <w:ind w:left="520" w:hanging="257"/>
        <w:spacing w:after="0" w:line="284" w:lineRule="auto"/>
        <w:tabs>
          <w:tab w:leader="none" w:pos="512"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three appraisers shall fix the fair value of the shares owned by the dissenter as of the close of business on the day prior to the date of the meeting or the date on which the resolution was passed, excluding any appreciation or depreciation directly or indirectly induced by the action or its proposal, and that value is binding on the Company and the dissenter for all purposes; and</w:t>
      </w:r>
    </w:p>
    <w:p>
      <w:pPr>
        <w:spacing w:after="0" w:line="261"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to the dissenter the amount in money upon the surrender by him of the certificates representing his or her shares, and such shares shall be cancelled.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Shareholders’ Suits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provisions of the BVI Act, the memorandum and articles of association of a company are binding as between the company and its shareholders and between the shareholders.</w:t>
      </w:r>
    </w:p>
    <w:p>
      <w:pPr>
        <w:spacing w:after="0" w:line="13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If the majority shareholders have infringed a minority shareholder’s rights, the minority may seek to enforce its rights either by derivative action or by personal action. A derivative action concerns the infringement of the company’s rights where the wrongdoers are in control of the company and are preventing it from taking action, whereas a personal action concerns the infringement of a right that is personal to the particular shareholder concerned.</w:t>
      </w:r>
    </w:p>
    <w:p>
      <w:pPr>
        <w:spacing w:after="0" w:line="9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4"/>
          <w:szCs w:val="14"/>
          <w:color w:val="auto"/>
        </w:rPr>
        <w:t>The BVI Act provides for a series of remedies available to shareholders. Where a company incorporated under the BVI Act conducts some activity which breaches the BVI Act or the company’s memorandum and articles of association, the BVI High Court can issue a restraining or compliance order. Shareholders can now also bring derivative, personal and representative actions under certain circumstances.</w:t>
      </w:r>
    </w:p>
    <w:p>
      <w:pPr>
        <w:spacing w:after="0" w:line="93"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Generally any other claims against a company by its shareholders must be based on the general laws of contract or tort applicable in the BVI or their individual rights as shareholders as established by the company’s memorandum and articles of association.</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certain circumstances, a shareholder has the right to seek various remedies against the company in the event the directors are in breach of their duties under the BVI Act. Pursuant to Section 184B of the BVI Act, if a company or director of a company engages in, proposes to engage in or has engaged in, conduct that contravenes the provisions of the BVI Act or the memorandum or articles of association of the company, the courts of the BVI may, on application of a shareholder or director of the company, make an order directing the company or director to comply with, or restraining the company or director from engaging in conduct that contravenes the BVI Act or the memorandum or articles. Furthermore, pursuant to Section 184I(1) of the BVI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courts of the BVI for an order which, inter alia, can require the company or any other person to pay compensation to the shareholders.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BVI Corporate Law and Delaware U.S. Corporate Law</w:t>
      </w:r>
    </w:p>
    <w:p>
      <w:pPr>
        <w:spacing w:after="0" w:line="141"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4"/>
          <w:szCs w:val="14"/>
          <w:color w:val="auto"/>
        </w:rPr>
        <w:t>Set forth below is a summary of the significant differences between the provisions of the laws of the BVI applicable to us and the laws applicable to companies incorporated in Delaware in the United States and their stockholders.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Proposals</w:t>
      </w:r>
    </w:p>
    <w:p>
      <w:pPr>
        <w:spacing w:after="0" w:line="143"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4"/>
          <w:szCs w:val="14"/>
          <w:color w:val="auto"/>
        </w:rPr>
        <w:t>Under the Delaware General Corporation Law, a shareholder has the right to put any proposal before the annual meeting of shareholders, provided it complies with the notice provisions in the governing documents. A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40"/>
          </w:cols>
          <w:pgMar w:left="300" w:top="1281" w:right="359" w:bottom="1440" w:gutter="0" w:footer="0" w:header="0"/>
        </w:sectPr>
      </w:pPr>
    </w:p>
    <w:bookmarkStart w:id="17" w:name="page18"/>
    <w:bookmarkEnd w:id="17"/>
    <w:p>
      <w:pPr>
        <w:ind w:right="40"/>
        <w:spacing w:after="0" w:line="267" w:lineRule="auto"/>
        <w:rPr>
          <w:sz w:val="20"/>
          <w:szCs w:val="20"/>
          <w:color w:val="auto"/>
        </w:rPr>
      </w:pPr>
      <w:r>
        <w:rPr>
          <w:rFonts w:ascii="Times New Roman" w:cs="Times New Roman" w:eastAsia="Times New Roman" w:hAnsi="Times New Roman"/>
          <w:sz w:val="14"/>
          <w:szCs w:val="14"/>
          <w:color w:val="auto"/>
        </w:rPr>
        <w:t>meeting may be called by the Board or any other person authorized to do so in the governing documents, but shareholders may be precluded from calling special meetings. Our Amended Memorandum and Articles of Association allow our shareholders holding not less than 10% of the votes of the outstanding voting shares to requisition a shareholders’ meeting. We are not obliged by law to call shareholders’ annual general meetings but our Amended Memorandum and Articles of Association require shareholders’ meetings for, amongst other things, the election of directors, to be held annually. The location of any shareholders’ meeting can be determined by the Board and can be held anywhere in the world.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Cumulative Voting</w:t>
      </w:r>
    </w:p>
    <w:p>
      <w:pPr>
        <w:spacing w:after="0" w:line="14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color w:val="auto"/>
        </w:rPr>
        <w:t>There are no prohibitions in relation to cumulative voting under the laws of the BVI, but our Amended Memorandum and Articles of Association do not provide for cumulative voting. As a result, our shareholders are not afforded any less protections or rights on this issue than shareholders of a Delaware corporation.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Shareholder Action by Written Consent</w:t>
      </w:r>
    </w:p>
    <w:p>
      <w:pPr>
        <w:spacing w:after="0" w:line="14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Although BVI law provides that companies may permit shareholder actions by written consent, our Amended Memorandum and Articles of Association provide that shareholders may not approve corporate matters by way of a written resolution.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of Memorandum and Articles of Association</w:t>
      </w:r>
    </w:p>
    <w:p>
      <w:pPr>
        <w:spacing w:after="0" w:line="14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Under the Delaware General Corporation Law, a corporation’s governing documents may be amended with the approval of a majority of the outstanding shares entitled to vote, unless the certificate of incorporation provides otherwise. As permitted by BVI law, our Amended Memorandum and Articles of Association may be amended with a resolution of our shareholders or, with certain exceptions, by resolutions of directors.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Removal of Directors</w:t>
      </w:r>
    </w:p>
    <w:p>
      <w:pPr>
        <w:spacing w:after="0" w:line="14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Amended Memorandum and Articles of Association, directors can be removed from office, with cause, by a resolution of shareholders passed at a meeting called for the purpose of removing the director or for purposes including the removal of the director by the affirmative vote of at least sixty-six and two-thirds percent (66 2/3%) of the votes of the common shares entitled to vote.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Transactions with Interested Shareholders</w:t>
      </w:r>
    </w:p>
    <w:p>
      <w:pPr>
        <w:spacing w:after="0" w:line="143" w:lineRule="exact"/>
        <w:rPr>
          <w:sz w:val="20"/>
          <w:szCs w:val="20"/>
          <w:color w:val="auto"/>
        </w:rPr>
      </w:pPr>
    </w:p>
    <w:p>
      <w:pPr>
        <w:ind w:right="60"/>
        <w:spacing w:after="0" w:line="174" w:lineRule="exact"/>
        <w:rPr>
          <w:sz w:val="20"/>
          <w:szCs w:val="20"/>
          <w:color w:val="auto"/>
        </w:rPr>
      </w:pPr>
      <w:r>
        <w:rPr>
          <w:rFonts w:ascii="Times New Roman" w:cs="Times New Roman" w:eastAsia="Times New Roman" w:hAnsi="Times New Roman"/>
          <w:sz w:val="14"/>
          <w:szCs w:val="14"/>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group who or which owns or owned 15% or more of the target’s outstanding voting shares within the past three years. This has the effect of limiting the ability of a potential acquirer to make a two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w:t>
      </w:r>
    </w:p>
    <w:p>
      <w:pPr>
        <w:spacing w:after="0" w:line="11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BVI law has no comparable statute. As a result, we are not afforded the same statutory protections in the BVI as we would be offered by the Delaware business combination statute. However, although BVI law does not regulate transactions between a company and its significant shareholders, it does provide that such transactions must be entered into bona fide in the best interests of the company and not with the effect of constituting a fraud on the minority shareholders. See also “—BVI Corporate Law—Shareholders’ Suits” above. We have adopted a code of business conduct and ethics which requires employees to fully disclose any situations that could reasonably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40"/>
          </w:cols>
          <w:pgMar w:left="300" w:top="1281" w:right="359" w:bottom="1440" w:gutter="0" w:footer="0" w:header="0"/>
        </w:sectPr>
      </w:pPr>
    </w:p>
    <w:bookmarkStart w:id="18" w:name="page19"/>
    <w:bookmarkEnd w:id="18"/>
    <w:p>
      <w:pPr>
        <w:ind w:right="80"/>
        <w:spacing w:after="0" w:line="261" w:lineRule="auto"/>
        <w:rPr>
          <w:sz w:val="20"/>
          <w:szCs w:val="20"/>
          <w:color w:val="auto"/>
        </w:rPr>
      </w:pPr>
      <w:r>
        <w:rPr>
          <w:rFonts w:ascii="Times New Roman" w:cs="Times New Roman" w:eastAsia="Times New Roman" w:hAnsi="Times New Roman"/>
          <w:sz w:val="14"/>
          <w:szCs w:val="14"/>
          <w:color w:val="auto"/>
        </w:rPr>
        <w:t>expected to give rise to a conflict of interest, and sets forth relevant restrictions and procedures when a conflict of interest arises to ensure the best interest of the Company. Our Amended Memorandum and Articles of Association also import the provisions of the Delaware General Corporation Law which prohibits the Company from engaging in certain business combinations with an “interested shareholder” for three years following the date that such person becomes an interested shareholder unless (i) prior to the date on which such shareholder becomes an interested shareholder, the board of directors approves either the business combination or the transaction which resulted in the person becoming an interested shareholder, (ii) upon consummation of the transaction which resulted in the shareholder becoming an interested shareholder, the interested shareholder owned at least 85% of the votes of shares in the Company outstanding at the time the transaction commenced or (iii) at or subsequent to such time the business combination is approved by the Board and authorized at an annual or extraordinary general meeting of shareholders, and not by written consent, by the affirmative vote of at least 66 2/3% of the votes of shares not owned by the interested shareholder.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Fiduciary Duties</w:t>
      </w:r>
    </w:p>
    <w:p>
      <w:pPr>
        <w:spacing w:after="0" w:line="1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Under BVI law, the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memorandum and articles of association or the BVI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of Directors and Executive Officers and Limitation of Liability</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BVI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or she believed to be in the best interests of the company and, in the case of criminal proceedings, the person had no reasonable cause to believe that his or her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our Amended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40"/>
          </w:cols>
          <w:pgMar w:left="300" w:top="128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Variation of Rights of Shares</w:t>
      </w:r>
    </w:p>
    <w:p>
      <w:pPr>
        <w:spacing w:after="0" w:line="143"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Other than with respect to the issuance of the Preferred Shares in accordance with our Amended Memorandum and Articles of Association, all or any of the rights attached to any class or series of shares may, subject to the provisions of the BVI Act, be varied with the consent in writing of all the holders of the issued shares of that class or series or with the sanction of a resolution passed by a majority of the votes cast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superior to such existing class of shares.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Dissolution; Winding-Up</w:t>
      </w:r>
    </w:p>
    <w:p>
      <w:pPr>
        <w:spacing w:after="0" w:line="14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BVI law, the liquidation of a company may be a voluntary solvent liquidation or an insolvent liquidation under the BVI Insolvency Act.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Voluntary Liquidation</w:t>
      </w:r>
    </w:p>
    <w:p>
      <w:pPr>
        <w:spacing w:after="0" w:line="14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If the liquidation is a solvent liquidation, the provisions of the BVI Act governs the liquidation. A company may only be liquidated under the BVI Act as a solvent liquidation if it has no liabilities or it is able to pay its debts as they fall due and the value of its assets exceeds its liabilities. Subject to the Amended Memorandum and Articles of Association, a liquidator may be appointed by a resolution of directors or resolution of shareholders but if the directors have commenced liquidation by a resolution of directors the shareholders must approve the liquidation plan by a resolution of shareholders save in limited circumstances.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liquidator is appointed for the purpose of collecting in and realizing the assets of a company and distributing proceeds to creditors.</w:t>
      </w:r>
    </w:p>
    <w:p>
      <w:pPr>
        <w:spacing w:after="0" w:line="13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We expect that in the event of a voluntary liquidation of the Company, after payment of the liquidation costs and any sums then due to creditors, the liquidator would distribute our remaining assets on a pari passu basis.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of Non-resident or Foreign Shareholders</w:t>
      </w:r>
    </w:p>
    <w:p>
      <w:pPr>
        <w:spacing w:after="0" w:line="143"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There are no limitations imposed by our Amended Memorandum and Articles of Association on the rights of non-resident or foreign shareholders to hold or exercise voting rights on our shares. In addition, there are no provisions in our Amended Memorandum and Articles of Association governing the ownership threshold above which shareholder ownership must be disclosed.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Anti-Money Laundering</w:t>
      </w:r>
    </w:p>
    <w:p>
      <w:pPr>
        <w:spacing w:after="0" w:line="143" w:lineRule="exact"/>
        <w:rPr>
          <w:sz w:val="20"/>
          <w:szCs w:val="20"/>
          <w:color w:val="auto"/>
        </w:rPr>
      </w:pPr>
    </w:p>
    <w:p>
      <w:pPr>
        <w:jc w:val="both"/>
        <w:ind w:right="280"/>
        <w:spacing w:after="0" w:line="273" w:lineRule="auto"/>
        <w:rPr>
          <w:sz w:val="20"/>
          <w:szCs w:val="20"/>
          <w:color w:val="auto"/>
        </w:rPr>
      </w:pPr>
      <w:r>
        <w:rPr>
          <w:rFonts w:ascii="Times New Roman" w:cs="Times New Roman" w:eastAsia="Times New Roman" w:hAnsi="Times New Roman"/>
          <w:sz w:val="14"/>
          <w:szCs w:val="14"/>
          <w:color w:val="auto"/>
        </w:rPr>
        <w:t>If any person resident in the BVI knows or suspects that another person is engaged in money laundering or terrorist financing and the information for that knowledge or suspicion came to their attention in the course of their business the person will be required to report his or her belief or suspicion to the Financial Investigation of the British Virgin Islands, pursuant to the Proceeds of Criminal Conduct Act (as revised). Such a report shall not be treated as a breach of confidence or of any restriction upon the disclosure of information imposed by any enactment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40"/>
          </w:cols>
          <w:pgMar w:left="300" w:top="127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NYSE Listing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listed on the New York Stock Exchange under the trading symbol “BHVN.”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shares is Equiniti Trust Company, LLC. The transfer agent’s address is 1110 Centre Pointe Curve, Suite 101, Mendota Heights, MN 55120.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740"/>
          </w:cols>
          <w:pgMar w:left="300" w:top="1279" w:right="8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4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the material terms and provisions of the depositary shares and depositary receipts that we may offer under this prospectus. While the terms we have summarized below will generally apply to any future depositary shares or depositary receipts we may offer under this prospectus, we will describe the particular terms of any depositary shares or depositary receipts that we may offer in more detail in the applicable prospectus supplement.</w:t>
      </w:r>
    </w:p>
    <w:p>
      <w:pPr>
        <w:spacing w:after="0" w:line="9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We will incorporate by reference into the registration statement of which this prospectus is a part the form of deposit agreement that describes the terms of the depositary shares and depositary receipts we may offer before the issuance thereof. The following summary is subject to, and qualified in its entirety by reference to, all provisions of the deposit agreement applicable to a particular offering of depositary shares or depositary receipts. We urge you to read any applicable prospectus supplement related to the depositary shares or depositary receipts that we sell under this prospectus, as well as the complete deposit agreement.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41"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14"/>
          <w:szCs w:val="14"/>
          <w:color w:val="auto"/>
        </w:rPr>
        <w:t>We may offer depositary shares evidenced by depositary receipts. Each depositary share represents a fraction or a multiple of a share of the particular series of preferred shares issued and deposited with a depositary to be designated by us. The fraction or the multiple of a share of preferred shares which each depositary share represents will be set forth in the applicable prospectus supplement.</w:t>
      </w:r>
    </w:p>
    <w:p>
      <w:pPr>
        <w:spacing w:after="0" w:line="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will deposit the preferred shares of any series of preferred shares represented by depositary shares according to the provisions of a deposit agreement to be entered into between us and a bank or trust company which we will select as our preferred shares depositary. We will name the depositary in the applicable prospectus supplement. Each holder of a depositary share will be entitled to all the rights and preferences of the underlying preferred shares in proportion to the applicable fraction or multiple of a share of preferred shares represented by the depositary share. These rights may include dividend, voting, redemption, conversion and liquidation rights. The depositary will send the holders of depositary shares all reports and communications that we deliver to the depositary and which we are required to furnish to the holders of depositary shares.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Depositary Receipts</w:t>
      </w:r>
    </w:p>
    <w:p>
      <w:pPr>
        <w:spacing w:after="0" w:line="141"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pursuant to the deposit agreement. Depositary receipts will be distributed to anyone who is buying the fractional preferred shares in accordance with the terms of the applicable prospectus supplement.</w:t>
      </w:r>
    </w:p>
    <w:p>
      <w:pPr>
        <w:spacing w:after="0" w:line="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While definitive engraved depositary receipts (certificates) are being prepared, we may instruct the depositary to issue temporary depositary receipts, which will entitle holders to all the rights of the definitive depositary receipts and be substantially in the same form. The depositary will prepare definitive depositary receipts without unreasonable delay, and we will pay for the exchange of your temporary depositary receipts for definitive depositary receipts.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Withdrawal of Preferred Shares</w:t>
      </w:r>
    </w:p>
    <w:p>
      <w:pPr>
        <w:spacing w:after="0" w:line="14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color w:val="auto"/>
        </w:rPr>
        <w:t>Unless the related depositary shares have previously been called for redemption, a holder of depositary shares may receive the number of whole shares of the related series of preferred shares and any money or other property represented by the holder’s depositary receipts after surrendering the depositary receipts at the corporate trust office of the depositary, paying any taxes, charges and fees provided for in the deposit agreement and complying with any other requirement of the deposit agreement. Partial preferred shares will not be issued. If the surrendered depositary shares exceed the number of depositary shares that represent the number of whole preferred shares the holder wishes to withdraw, then the depositary will deliver to the holder at the same time a new depositary receipt evidencing the excess number of depositary shares. Once the holder has withdrawn the preferred shares, the holder will not be entitled to re-deposit such preferred shares under the deposit agreement or to receive depositary shares in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60"/>
          </w:cols>
          <w:pgMar w:left="300" w:top="127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for such preferred shares. We do not expect that there will be any public trading market for withdrawn preferred shares.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1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The depositary will distribute to record holders of depositary shares any cash dividends or other cash distributions it receives on preferred shares, after deducting its fees and expenses. Each holder will receive these distributions in proportion to the number of depositary shares owned by the holder. The depositary will distribute only whole U.S. dollars and cents. The depositary will add any fractional cents not distributed to the next sum received for distribution to record holders of depositary shares. In the event of a non-cash distribution, the depositary will distribute property to the record holders of depositary shares, unless the depositary determines that it is not feasible to make such a distribution. If this occurs, the depositary may, with our approval, sell the property and distribute the net proceeds from the sale to the holders. The amounts distributed to holders of depositary shares will be reduced by any amounts required to be withheld by the depositary or by us on account of taxes or other governmental charges.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14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If the series of preferred shares represented by depositary shares is subject to redemption, we will give the necessary proceeds to the depositary. The depositary will then redeem the depositary shares using the funds they received from us for the preferred shares. The redemption price per depositary share will be equal to the redemption price payable per share for the applicable series of the preferred shares and any other amounts per share payable with respect to the preferred shares multiplied by the fraction or multiple of a preferred share represented by one depositary share. Whenever we redeem preferred shares held by the depositary, the depositary will redeem the depositary shares representing the preferred shares on the same day, provided we have paid in full to the depositary the redemption price of the preferred shares to be redeemed and any accrued and unpaid dividends. If fewer than all the depositary shares of a series are to be redeemed, the depositary shares will be selected by lot or ratably or by any other equitable methods as the depositary will decide.</w:t>
      </w:r>
    </w:p>
    <w:p>
      <w:pPr>
        <w:spacing w:after="0" w:line="102"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4"/>
          <w:szCs w:val="14"/>
          <w:color w:val="auto"/>
        </w:rPr>
        <w:t>After the date fixed for redemption, the depositary shares called for redemption will no longer be considered outstanding. Therefore, all rights of holders of the depositary shares will then cease, except that the holders will still be entitled to receive any cash payable upon the redemption and any money or other property to which the holder was entitled at the time of redemption. To receive this amount or other property, the holders must surrender the depositary receipts evidencing their depositary shares to the depositary. Any funds that we deposit with the depositary for any depositary shares that the holders fail to redeem will be returned to us after a period of one year from the date we deposit the funds.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the Preferred Shares</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preferred shares are entitled to vote, the depositary will notify holders of depositary shares of the upcoming vote and arrange to deliver our voting materials to the holders. The record date for determining holders of depositary shares that are entitled to vote will be the same as the record date for the preferred shares. The materials the holders will receive will describe the matters to be voted on and explain how the holders, on a certain date, may instruct the depositary to vote the preferred shares underlying the depositary shares.</w:t>
      </w:r>
    </w:p>
    <w:p>
      <w:pPr>
        <w:spacing w:after="0" w:line="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4"/>
          <w:szCs w:val="14"/>
          <w:color w:val="auto"/>
        </w:rPr>
        <w:t>For instructions to be valid, the depositary must receive them on or before the date specified. To the extent possible, the depositary will vote the shares as instructed by the holder. We agree to take all reasonable actions that the depositary determines are necessary to enable it to vote as a holder has instructed. If the depositary does not receive specific instructions from the holders of any depositary shares, it will vote all shares of that series held by it proportionately with instructions received.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or Exchange</w:t>
      </w:r>
    </w:p>
    <w:p>
      <w:pPr>
        <w:spacing w:after="0" w:line="141"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4"/>
          <w:szCs w:val="14"/>
          <w:color w:val="auto"/>
        </w:rPr>
        <w:t>The depositary, with our approval or at our instruction, will convert or exchange all depositary shares if the preferred shares underlying the depositary shares are converted or exchanged. In order for the depositary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281"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auto"/>
        </w:rPr>
        <w:t>we will need to deposit the other preferred shares, common shares, or other securities into which the preferred shares are to be converted or for which it will be exchanged.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exchange or conversion rate per depositary share will be equal to:</w:t>
      </w:r>
    </w:p>
    <w:p>
      <w:pPr>
        <w:spacing w:after="0" w:line="139" w:lineRule="exact"/>
        <w:rPr>
          <w:sz w:val="20"/>
          <w:szCs w:val="20"/>
          <w:color w:val="auto"/>
        </w:rPr>
      </w:pPr>
    </w:p>
    <w:p>
      <w:pPr>
        <w:ind w:left="520" w:hanging="257"/>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exchange or conversion rate per preferred share, multiplied by the fraction or multiple of a preferred share represented by one depositary share;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all money and any other property represented by one depositary share;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all amounts per depositary share paid by us for dividends that have accrued on the preferred shares on the exchange or conversion date and that have not been paid.</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depositary shares, as such, cannot be converted or exchanged into other preferred shares, common shares, securities of another issuer or any other of our securities or property. Nevertheless, if so specified in the applicable prospectus supplement, a holder of depositary shares may be able to surrender the depositary receipts to the depositary with written instructions asking the depositary to instruct us to convert or exchange the preferred shares represented by the depositary shares into other shares of our preferred shares or common shares or to exchange the preferred shares for any other securities registered pursuant to the registration statement of which this prospectus forms a part. If the depositary shares carry this right, we would agree that, upon the payment of any applicable fees, we will cause the conversion or exchange of the preferred shares using the same procedures as we use for the delivery of preferred shares. If a holder is only converting part of the depositary shares represented by a depositary receipt, new depositary receipts will be issued for any depositary shares that are not converted or exchanged.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 Agreement</w:t>
      </w:r>
    </w:p>
    <w:p>
      <w:pPr>
        <w:spacing w:after="0" w:line="14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may agree with the depositary to amend the deposit agreement and the form of depositary receipt without consent of the holder at any time. However, if the amendment adds or increases fees or charges, other than any change in the fees of any depositary, registrar or transfer agent, or prejudices an important right of holders, it will only become effective with the approval of holders of at least a majority of the affected depositary shares then outstanding. We will make no amendment that impairs the right of any holder of depositary shares, as described above under “—Withdrawal of Preferred Shares”, to receive preferred shares and any money or other property represented by those depositary shares, except in order to comply with mandatory provisions of applicable law. If an amendment becomes effective, holders are deemed to agree to the amendment and to be bound by the amended deposit agreement if they continue to hold their depositary receipts.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deposit agreement automatically terminates if:</w:t>
      </w:r>
    </w:p>
    <w:p>
      <w:pPr>
        <w:spacing w:after="0" w:line="139" w:lineRule="exact"/>
        <w:rPr>
          <w:sz w:val="20"/>
          <w:szCs w:val="20"/>
          <w:color w:val="auto"/>
        </w:rPr>
      </w:pPr>
    </w:p>
    <w:p>
      <w:pPr>
        <w:ind w:left="520" w:hanging="257"/>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have been redeemed or converted or exchanged for any other securities into which they or the underlying preferred shares are convertible or exchangeable;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share of preferred shares has been converted into or exchanged for common shares; or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final distribution in respect of the preferred shares has been made to the holders of depositary receipts in connection with our liquidation, dissolution or winding-up.</w:t>
      </w:r>
    </w:p>
    <w:p>
      <w:pPr>
        <w:spacing w:after="0" w:line="13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4"/>
          <w:szCs w:val="14"/>
          <w:color w:val="auto"/>
        </w:rPr>
        <w:t>We may also terminate the deposit agreement at any time we wish. If we do so, the depositary will give notice of termination to the record holders not less than 30 days before the termination date. Once depositary receipts are surrendered to the depositary, it will send to each holder the number of whole or fractional shares of the series of preferred shares underlying that holder’s depositary receipts.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Charges of Depositary and Expenses</w:t>
      </w:r>
    </w:p>
    <w:p>
      <w:pPr>
        <w:spacing w:after="0" w:line="141"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4"/>
          <w:szCs w:val="14"/>
          <w:color w:val="auto"/>
        </w:rPr>
        <w:t>We will pay the fees, charges and expenses of the depositary provided in the deposit agreement to be payable by us. Holders of depositary receipts will pay any taxes and governmental charges and any charges provided in the deposit agreement to be payable by them. If the depositary incurs fees, charges or expenses for which it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281"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auto"/>
        </w:rPr>
        <w:t>otherwise liable at the election of a holder of a depositary receipt or other person, that holder or other person will be liable for those fees, charges and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Our Obligations and Liability to Holders of Depositary Receipts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deposit agreement expressly limits our obligations and the obligations of the depositary. It also limits our liability and the liability of the depositary as follows:</w:t>
      </w:r>
    </w:p>
    <w:p>
      <w:pPr>
        <w:spacing w:after="0" w:line="139" w:lineRule="exact"/>
        <w:rPr>
          <w:sz w:val="20"/>
          <w:szCs w:val="20"/>
          <w:color w:val="auto"/>
        </w:rPr>
      </w:pPr>
    </w:p>
    <w:p>
      <w:pPr>
        <w:ind w:left="520" w:hanging="257"/>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are only liable to the holders of depositary receipts for negligence or willful misconduct;</w:t>
      </w:r>
    </w:p>
    <w:p>
      <w:pPr>
        <w:spacing w:after="0" w:line="138" w:lineRule="exact"/>
        <w:rPr>
          <w:rFonts w:ascii="Times New Roman" w:cs="Times New Roman" w:eastAsia="Times New Roman" w:hAnsi="Times New Roman"/>
          <w:sz w:val="14"/>
          <w:szCs w:val="14"/>
          <w:color w:val="auto"/>
        </w:rPr>
      </w:pPr>
    </w:p>
    <w:p>
      <w:pPr>
        <w:ind w:left="520" w:right="80" w:hanging="257"/>
        <w:spacing w:after="0" w:line="29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have no obligation to become involved in any legal or other proceeding related to the depositary receipts or the deposit agreement on your behalf or on behalf of any other party, unless you provide us with satisfactory indemnity; and</w:t>
      </w:r>
    </w:p>
    <w:p>
      <w:pPr>
        <w:spacing w:after="0" w:line="80" w:lineRule="exact"/>
        <w:rPr>
          <w:rFonts w:ascii="Times New Roman" w:cs="Times New Roman" w:eastAsia="Times New Roman" w:hAnsi="Times New Roman"/>
          <w:sz w:val="14"/>
          <w:szCs w:val="14"/>
          <w:color w:val="auto"/>
        </w:rPr>
      </w:pPr>
    </w:p>
    <w:p>
      <w:pPr>
        <w:ind w:left="520" w:hanging="257"/>
        <w:spacing w:after="0" w:line="29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the depositary may rely upon any written advice of counsel or accountants and on any documents we believe in good faith to be genuine and to have been signed or presented by the proper party.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141" w:lineRule="exact"/>
        <w:rPr>
          <w:sz w:val="20"/>
          <w:szCs w:val="20"/>
          <w:color w:val="auto"/>
        </w:rPr>
      </w:pPr>
    </w:p>
    <w:p>
      <w:pPr>
        <w:ind w:right="140"/>
        <w:spacing w:after="0" w:line="291" w:lineRule="auto"/>
        <w:rPr>
          <w:sz w:val="20"/>
          <w:szCs w:val="20"/>
          <w:color w:val="auto"/>
        </w:rPr>
      </w:pPr>
      <w:r>
        <w:rPr>
          <w:rFonts w:ascii="Times New Roman" w:cs="Times New Roman" w:eastAsia="Times New Roman" w:hAnsi="Times New Roman"/>
          <w:sz w:val="14"/>
          <w:szCs w:val="14"/>
          <w:color w:val="auto"/>
        </w:rPr>
        <w:t>The depositary may resign at any time by notifying us of its election to do so. In addition, we may remove the depositary at any time. Within 60 days after the delivery of a notice of resignation or removal of the depositary, we will appoint a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80"/>
          </w:cols>
          <w:pgMar w:left="300" w:top="1281" w:right="31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4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93"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w:t>
      </w:r>
    </w:p>
    <w:p>
      <w:pPr>
        <w:spacing w:after="0" w:line="8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The terms of each series of debt securities will be established by or pursuant to a resolution of our Board and set forth in an officer’s certificate or a supplemental indenture. The particular terms of each series of debt securities will be described in a prospectus supplement relating to such series (including any pricing supplement or term sheet), including the following terms, if applicable:</w:t>
      </w:r>
    </w:p>
    <w:p>
      <w:pPr>
        <w:spacing w:after="0" w:line="93" w:lineRule="exact"/>
        <w:rPr>
          <w:sz w:val="20"/>
          <w:szCs w:val="20"/>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debt securities being offered and any limit on the aggregate principal amount of such series of debt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including the terms of subordination, if any, of such guarantees;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if any, and the method for calculating the interest rate;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from which interest will accrue, the interest payment dates and the record dates for the interest payments;</w:t>
      </w:r>
    </w:p>
    <w:p>
      <w:pPr>
        <w:spacing w:after="0" w:line="138" w:lineRule="exact"/>
        <w:rPr>
          <w:rFonts w:ascii="Times New Roman" w:cs="Times New Roman" w:eastAsia="Times New Roman" w:hAnsi="Times New Roman"/>
          <w:sz w:val="14"/>
          <w:szCs w:val="14"/>
          <w:color w:val="auto"/>
        </w:rPr>
      </w:pPr>
    </w:p>
    <w:p>
      <w:pPr>
        <w:ind w:left="520" w:right="40" w:hanging="257"/>
        <w:spacing w:after="0" w:line="29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any interest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mandatory or optional redemption terms;</w:t>
      </w:r>
    </w:p>
    <w:p>
      <w:pPr>
        <w:spacing w:after="0" w:line="138" w:lineRule="exact"/>
        <w:rPr>
          <w:rFonts w:ascii="Times New Roman" w:cs="Times New Roman" w:eastAsia="Times New Roman" w:hAnsi="Times New Roman"/>
          <w:sz w:val="14"/>
          <w:szCs w:val="14"/>
          <w:color w:val="auto"/>
        </w:rPr>
      </w:pPr>
    </w:p>
    <w:p>
      <w:pPr>
        <w:ind w:left="520" w:right="220" w:hanging="257"/>
        <w:spacing w:after="0" w:line="27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93" w:lineRule="exact"/>
        <w:rPr>
          <w:rFonts w:ascii="Times New Roman" w:cs="Times New Roman" w:eastAsia="Times New Roman" w:hAnsi="Times New Roman"/>
          <w:sz w:val="14"/>
          <w:szCs w:val="14"/>
          <w:color w:val="auto"/>
        </w:rPr>
      </w:pPr>
    </w:p>
    <w:p>
      <w:pPr>
        <w:ind w:left="520" w:right="60" w:hanging="257"/>
        <w:spacing w:after="0" w:line="29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dates, if any, on which and the price or prices at which we will repurchase debt securities at the option of the holders of debt securities and other detailed terms and provisions of such repurchase obligations;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20"/>
          </w:cols>
          <w:pgMar w:left="300" w:top="1279" w:right="379" w:bottom="1440" w:gutter="0" w:footer="0" w:header="0"/>
        </w:sectPr>
      </w:pPr>
    </w:p>
    <w:bookmarkStart w:id="26" w:name="page27"/>
    <w:bookmarkEnd w:id="26"/>
    <w:p>
      <w:pPr>
        <w:ind w:left="520" w:hanging="257"/>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38" w:lineRule="exact"/>
        <w:rPr>
          <w:rFonts w:ascii="Times New Roman" w:cs="Times New Roman" w:eastAsia="Times New Roman" w:hAnsi="Times New Roman"/>
          <w:sz w:val="14"/>
          <w:szCs w:val="14"/>
          <w:color w:val="auto"/>
        </w:rPr>
      </w:pPr>
    </w:p>
    <w:p>
      <w:pPr>
        <w:ind w:left="520" w:right="480" w:hanging="257"/>
        <w:spacing w:after="0" w:line="29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the principal of, and any interest on, the debt securities will be made;</w:t>
      </w:r>
    </w:p>
    <w:p>
      <w:pPr>
        <w:spacing w:after="0" w:line="138" w:lineRule="exact"/>
        <w:rPr>
          <w:rFonts w:ascii="Times New Roman" w:cs="Times New Roman" w:eastAsia="Times New Roman" w:hAnsi="Times New Roman"/>
          <w:sz w:val="14"/>
          <w:szCs w:val="14"/>
          <w:color w:val="auto"/>
        </w:rPr>
      </w:pPr>
    </w:p>
    <w:p>
      <w:pPr>
        <w:ind w:left="520" w:right="800" w:hanging="257"/>
        <w:spacing w:after="0" w:line="29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any interest on, the debt securities will be made in one or more currencies or currency units other than that or those in which the debt securities are denominated, the manner in which the exchange rate with respect to such payments will be determined;</w:t>
      </w:r>
    </w:p>
    <w:p>
      <w:pPr>
        <w:spacing w:after="0" w:line="80" w:lineRule="exact"/>
        <w:rPr>
          <w:rFonts w:ascii="Times New Roman" w:cs="Times New Roman" w:eastAsia="Times New Roman" w:hAnsi="Times New Roman"/>
          <w:sz w:val="14"/>
          <w:szCs w:val="14"/>
          <w:color w:val="auto"/>
        </w:rPr>
      </w:pPr>
    </w:p>
    <w:p>
      <w:pPr>
        <w:ind w:left="520" w:right="140" w:hanging="257"/>
        <w:spacing w:after="0" w:line="29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or any interest on, the debt securities will be determined, if these amounts may be determined by reference to an index based on a currency or currencies or by reference to a commodity, commodity index, stock exchange index or financial index;</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38" w:lineRule="exact"/>
        <w:rPr>
          <w:rFonts w:ascii="Times New Roman" w:cs="Times New Roman" w:eastAsia="Times New Roman" w:hAnsi="Times New Roman"/>
          <w:sz w:val="14"/>
          <w:szCs w:val="14"/>
          <w:color w:val="auto"/>
        </w:rPr>
      </w:pPr>
    </w:p>
    <w:p>
      <w:pPr>
        <w:ind w:left="520" w:hanging="257"/>
        <w:spacing w:after="0" w:line="29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appointed with respect to the debt securities;</w:t>
      </w:r>
    </w:p>
    <w:p>
      <w:pPr>
        <w:spacing w:after="0" w:line="138" w:lineRule="exact"/>
        <w:rPr>
          <w:rFonts w:ascii="Times New Roman" w:cs="Times New Roman" w:eastAsia="Times New Roman" w:hAnsi="Times New Roman"/>
          <w:sz w:val="14"/>
          <w:szCs w:val="14"/>
          <w:color w:val="auto"/>
        </w:rPr>
      </w:pPr>
    </w:p>
    <w:p>
      <w:pPr>
        <w:ind w:left="520" w:right="340" w:hanging="257"/>
        <w:spacing w:after="0" w:line="27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such series of debt securities are redeemed; and</w:t>
      </w:r>
    </w:p>
    <w:p>
      <w:pPr>
        <w:spacing w:after="0" w:line="93" w:lineRule="exact"/>
        <w:rPr>
          <w:rFonts w:ascii="Times New Roman" w:cs="Times New Roman" w:eastAsia="Times New Roman" w:hAnsi="Times New Roman"/>
          <w:sz w:val="14"/>
          <w:szCs w:val="14"/>
          <w:color w:val="auto"/>
        </w:rPr>
      </w:pPr>
    </w:p>
    <w:p>
      <w:pPr>
        <w:ind w:left="520" w:right="260" w:hanging="257"/>
        <w:spacing w:after="0" w:line="29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p>
      <w:pPr>
        <w:spacing w:after="0" w:line="81" w:lineRule="exact"/>
        <w:rPr>
          <w:sz w:val="20"/>
          <w:szCs w:val="20"/>
          <w:color w:val="auto"/>
        </w:rPr>
      </w:pPr>
    </w:p>
    <w:p>
      <w:pPr>
        <w:jc w:val="both"/>
        <w:ind w:right="220"/>
        <w:spacing w:after="0" w:line="273"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maturity or a declaration of acceleration of their maturity following an event of default pursuant to the terms of the indenture. We will provide you with information on the federal income tax considerations and other special considerations applicable to any of these debt securities in the applicable prospectus supplement.</w:t>
      </w:r>
    </w:p>
    <w:p>
      <w:pPr>
        <w:spacing w:after="0" w:line="9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141"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or the depositary, or a nominee of the depositary (we will refer to any such debt security as a “global debt security”), or a certificate issued in definitive registered form (we will refer to any debt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281" w:right="319" w:bottom="1440" w:gutter="0" w:footer="0" w:header="0"/>
        </w:sectPr>
      </w:pPr>
    </w:p>
    <w:bookmarkStart w:id="27" w:name="page28"/>
    <w:bookmarkEnd w:id="27"/>
    <w:p>
      <w:pPr>
        <w:ind w:right="100"/>
        <w:spacing w:after="0" w:line="291" w:lineRule="auto"/>
        <w:rPr>
          <w:sz w:val="20"/>
          <w:szCs w:val="20"/>
          <w:color w:val="auto"/>
        </w:rPr>
      </w:pPr>
      <w:r>
        <w:rPr>
          <w:rFonts w:ascii="Times New Roman" w:cs="Times New Roman" w:eastAsia="Times New Roman" w:hAnsi="Times New Roman"/>
          <w:sz w:val="14"/>
          <w:szCs w:val="14"/>
          <w:color w:val="auto"/>
        </w:rPr>
        <w:t>represented by a certificate as a “certificated debt security”) as set forth in the applicable prospectus supplement. Except as set forth below, global debt securities will not be issuable in certificated form.</w:t>
      </w:r>
    </w:p>
    <w:p>
      <w:pPr>
        <w:spacing w:after="0" w:line="7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i w:val="1"/>
          <w:iCs w:val="1"/>
          <w:color w:val="auto"/>
        </w:rPr>
        <w:t>Certificated Debt Securities</w:t>
      </w:r>
      <w:r>
        <w:rPr>
          <w:rFonts w:ascii="Times New Roman" w:cs="Times New Roman" w:eastAsia="Times New Roman" w:hAnsi="Times New Roman"/>
          <w:sz w:val="14"/>
          <w:szCs w:val="14"/>
          <w:color w:val="auto"/>
        </w:rPr>
        <w:t>. You may transfer or exchange certificated debt securities at any office we maintain for this purpose in accordance with the terms of the indenture. No service charge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made for any transfer or exchange of certificated debt securities, but we may require payment of a sum sufficient to cover any tax or other governmental charge payable in connection with a transfer or exchange.</w:t>
      </w:r>
    </w:p>
    <w:p>
      <w:pPr>
        <w:spacing w:after="0" w:line="93" w:lineRule="exact"/>
        <w:rPr>
          <w:sz w:val="20"/>
          <w:szCs w:val="20"/>
          <w:color w:val="auto"/>
        </w:rPr>
      </w:pPr>
    </w:p>
    <w:p>
      <w:pPr>
        <w:ind w:right="120"/>
        <w:spacing w:after="0" w:line="291"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i w:val="1"/>
          <w:iCs w:val="1"/>
          <w:color w:val="auto"/>
        </w:rPr>
        <w:t>Global Debt Securities and Book-Entry System</w:t>
      </w:r>
      <w:r>
        <w:rPr>
          <w:rFonts w:ascii="Times New Roman" w:cs="Times New Roman" w:eastAsia="Times New Roman" w:hAnsi="Times New Roman"/>
          <w:sz w:val="14"/>
          <w:szCs w:val="14"/>
          <w:color w:val="auto"/>
        </w:rPr>
        <w:t>. Each global debt security will be deposited with, or on behalf of, the depositary, and registered in the name of the depositary or a nominee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depositary. Beneficial interests in global debt securities will not be issuable in certificated form unless (i) the depositary has notified us that it is unwilling or unable to continue as depositary for such global debt security or has ceased to be qualified to act as such as required by the indenture and we fail to appoint a successor depositary within 90 days of such event, (ii) we determine, in our sole discretion, not to have such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14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Biohaven may not consolidate with or merge with or into, or convey, transfer or lease all or substantially all of its assets to any person (a “successor person”) unless:</w:t>
      </w:r>
    </w:p>
    <w:p>
      <w:pPr>
        <w:spacing w:after="0" w:line="139" w:lineRule="exact"/>
        <w:rPr>
          <w:sz w:val="20"/>
          <w:szCs w:val="20"/>
          <w:color w:val="auto"/>
        </w:rPr>
      </w:pPr>
    </w:p>
    <w:p>
      <w:pPr>
        <w:ind w:left="520" w:hanging="257"/>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Biohaven is the surviving person or the successor person (if other than Biohaven) expressly assumes Biohaven’s obligations on the debt securities and under the indenture;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Notwithstanding the above, any of Biohaven’s subsidiaries may consolidate with, merge into or transfer all or part of its properties to Biohaven.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60"/>
          </w:cols>
          <w:pgMar w:left="300" w:top="12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means with respect to any series of debt securities, any of the following:</w:t>
      </w:r>
    </w:p>
    <w:p>
      <w:pPr>
        <w:spacing w:after="0" w:line="141" w:lineRule="exact"/>
        <w:rPr>
          <w:sz w:val="20"/>
          <w:szCs w:val="20"/>
          <w:color w:val="auto"/>
        </w:rPr>
      </w:pPr>
    </w:p>
    <w:p>
      <w:pPr>
        <w:ind w:left="520" w:right="340" w:hanging="257"/>
        <w:spacing w:after="0" w:line="29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38" w:lineRule="exact"/>
        <w:rPr>
          <w:rFonts w:ascii="Times New Roman" w:cs="Times New Roman" w:eastAsia="Times New Roman" w:hAnsi="Times New Roman"/>
          <w:sz w:val="14"/>
          <w:szCs w:val="14"/>
          <w:color w:val="auto"/>
        </w:rPr>
      </w:pPr>
    </w:p>
    <w:p>
      <w:pPr>
        <w:ind w:left="520" w:right="80" w:hanging="257"/>
        <w:spacing w:after="0" w:line="273"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93"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Biohaven;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a series of debt securities that is described in the applicable prospectus supplement.</w:t>
      </w:r>
    </w:p>
    <w:p>
      <w:pPr>
        <w:spacing w:after="0" w:line="13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7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80"/>
          </w:cols>
          <w:pgMar w:left="300" w:top="1279" w:right="319" w:bottom="1440" w:gutter="0" w:footer="0" w:header="0"/>
        </w:sectPr>
      </w:pPr>
    </w:p>
    <w:bookmarkStart w:id="29" w:name="page30"/>
    <w:bookmarkEnd w:id="29"/>
    <w:p>
      <w:pPr>
        <w:spacing w:after="0" w:line="291"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the securities of any series or for the appointment of a receiver or trustee, or for any remedy under the indenture, unless:</w:t>
      </w:r>
    </w:p>
    <w:p>
      <w:pPr>
        <w:spacing w:after="0" w:line="81" w:lineRule="exact"/>
        <w:rPr>
          <w:sz w:val="20"/>
          <w:szCs w:val="20"/>
          <w:color w:val="auto"/>
        </w:rPr>
      </w:pPr>
    </w:p>
    <w:p>
      <w:pPr>
        <w:ind w:left="520" w:hanging="257"/>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w:t>
      </w:r>
    </w:p>
    <w:p>
      <w:pPr>
        <w:spacing w:after="0" w:line="138" w:lineRule="exact"/>
        <w:rPr>
          <w:rFonts w:ascii="Times New Roman" w:cs="Times New Roman" w:eastAsia="Times New Roman" w:hAnsi="Times New Roman"/>
          <w:sz w:val="14"/>
          <w:szCs w:val="14"/>
          <w:color w:val="auto"/>
        </w:rPr>
      </w:pPr>
    </w:p>
    <w:p>
      <w:pPr>
        <w:ind w:left="520" w:right="160" w:hanging="257"/>
        <w:spacing w:after="0" w:line="29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to the trustee to institute the proceedings in respect of such event of default in its own name as trustee under the indenture;</w:t>
      </w:r>
    </w:p>
    <w:p>
      <w:pPr>
        <w:spacing w:after="0" w:line="80" w:lineRule="exact"/>
        <w:rPr>
          <w:rFonts w:ascii="Times New Roman" w:cs="Times New Roman" w:eastAsia="Times New Roman" w:hAnsi="Times New Roman"/>
          <w:sz w:val="14"/>
          <w:szCs w:val="14"/>
          <w:color w:val="auto"/>
        </w:rPr>
      </w:pPr>
    </w:p>
    <w:p>
      <w:pPr>
        <w:ind w:left="520" w:right="500" w:hanging="257"/>
        <w:spacing w:after="0" w:line="29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indemnity or security satisfactory to the trustee against the costs, expenses and liabilities which might be incurred by the trustee in compliance with such request;</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has failed to institute any such proceeding for 60 days after its receipt of such notice, request and offer of indemnity; and</w:t>
      </w:r>
    </w:p>
    <w:p>
      <w:pPr>
        <w:spacing w:after="0" w:line="138" w:lineRule="exact"/>
        <w:rPr>
          <w:rFonts w:ascii="Times New Roman" w:cs="Times New Roman" w:eastAsia="Times New Roman" w:hAnsi="Times New Roman"/>
          <w:sz w:val="14"/>
          <w:szCs w:val="14"/>
          <w:color w:val="auto"/>
        </w:rPr>
      </w:pPr>
    </w:p>
    <w:p>
      <w:pPr>
        <w:ind w:left="520" w:right="60" w:hanging="257"/>
        <w:spacing w:after="0" w:line="291"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holders of a majority in principal amount of the outstanding debt securities of that series.</w:t>
      </w:r>
    </w:p>
    <w:p>
      <w:pPr>
        <w:spacing w:after="0" w:line="81" w:lineRule="exact"/>
        <w:rPr>
          <w:sz w:val="20"/>
          <w:szCs w:val="20"/>
          <w:color w:val="auto"/>
        </w:rPr>
      </w:pPr>
    </w:p>
    <w:p>
      <w:pPr>
        <w:jc w:val="both"/>
        <w:ind w:right="180"/>
        <w:spacing w:after="0" w:line="273"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spacing w:after="0" w:line="9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60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the trustee may modify and amend or supplement the indenture or the debt securities of one or more series without the consent of any holder of any debt security:</w:t>
      </w:r>
    </w:p>
    <w:p>
      <w:pPr>
        <w:spacing w:after="0" w:line="139" w:lineRule="exact"/>
        <w:rPr>
          <w:sz w:val="20"/>
          <w:szCs w:val="20"/>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 series or secure debt securities of a series;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any series of debt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materially adversely affect the rights of any holder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81" w:right="319" w:bottom="1440" w:gutter="0" w:footer="0" w:header="0"/>
        </w:sectPr>
      </w:pPr>
    </w:p>
    <w:bookmarkStart w:id="30" w:name="page31"/>
    <w:bookmarkEnd w:id="30"/>
    <w:p>
      <w:pPr>
        <w:ind w:left="520" w:right="320" w:hanging="257"/>
        <w:spacing w:after="0" w:line="29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any supplement to the indenture for a series of securities or the securities of a series to the description of securities for such series in the prospectus supplement or offering document with respect to such series;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138" w:lineRule="exact"/>
        <w:rPr>
          <w:rFonts w:ascii="Times New Roman" w:cs="Times New Roman" w:eastAsia="Times New Roman" w:hAnsi="Times New Roman"/>
          <w:sz w:val="14"/>
          <w:szCs w:val="14"/>
          <w:color w:val="auto"/>
        </w:rPr>
      </w:pPr>
    </w:p>
    <w:p>
      <w:pPr>
        <w:ind w:left="520" w:right="280" w:hanging="257"/>
        <w:spacing w:after="0" w:line="29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other reasons set forth in any prospectus supplement.</w:t>
      </w:r>
    </w:p>
    <w:p>
      <w:pPr>
        <w:spacing w:after="0" w:line="13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520" w:hanging="257"/>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debt securities whose holders must consent to an amendment, supplement or waiver;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38" w:lineRule="exact"/>
        <w:rPr>
          <w:rFonts w:ascii="Times New Roman" w:cs="Times New Roman" w:eastAsia="Times New Roman" w:hAnsi="Times New Roman"/>
          <w:sz w:val="14"/>
          <w:szCs w:val="14"/>
          <w:color w:val="auto"/>
        </w:rPr>
      </w:pPr>
    </w:p>
    <w:p>
      <w:pPr>
        <w:ind w:left="520" w:right="100" w:hanging="257"/>
        <w:spacing w:after="0" w:line="29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change the fixed maturity of, any debt security or reduce the amount of, or postpone the date fixed for, the payment of any sinking fund or analogous obligation with respect to any series of debt securities;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38" w:lineRule="exact"/>
        <w:rPr>
          <w:rFonts w:ascii="Times New Roman" w:cs="Times New Roman" w:eastAsia="Times New Roman" w:hAnsi="Times New Roman"/>
          <w:sz w:val="14"/>
          <w:szCs w:val="14"/>
          <w:color w:val="auto"/>
        </w:rPr>
      </w:pPr>
    </w:p>
    <w:p>
      <w:pPr>
        <w:ind w:left="520" w:right="100" w:hanging="257"/>
        <w:spacing w:after="0" w:line="29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interest, if any, on any debt security (except a rescission of acceleration of the debt securities of any series by the holders of at least a majority in principal amount of the then outstanding debt securities of that series and a waiver of the payment default that resulted from such acceleration);</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any interest on, any debt security payable in currency other than that stated in the debt security;</w:t>
      </w:r>
    </w:p>
    <w:p>
      <w:pPr>
        <w:spacing w:after="0" w:line="138" w:lineRule="exact"/>
        <w:rPr>
          <w:rFonts w:ascii="Times New Roman" w:cs="Times New Roman" w:eastAsia="Times New Roman" w:hAnsi="Times New Roman"/>
          <w:sz w:val="14"/>
          <w:szCs w:val="14"/>
          <w:color w:val="auto"/>
        </w:rPr>
      </w:pPr>
    </w:p>
    <w:p>
      <w:pPr>
        <w:ind w:left="520" w:right="260" w:hanging="257"/>
        <w:spacing w:after="0" w:line="29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any interest on, those debt securities and to institute suit for the enforcement of any such payment;</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waivers or amendments; or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provided that such redemption is made at our option.</w:t>
      </w:r>
    </w:p>
    <w:p>
      <w:pPr>
        <w:spacing w:after="0" w:line="13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such series.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40"/>
          </w:cols>
          <w:pgMar w:left="300" w:top="128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series may rescind an acceleration and its consequences, including any related payment default that resulted from the acceleration.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13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 applicable series of debt securities, we may be discharged from any and all obligations in respect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and interest, if any, on and any mandatory sinking fund payments in respect of the debt securities of that series on the stated maturity of those payments in accordance with the terms of the indenture and those debt securities.</w:t>
      </w:r>
    </w:p>
    <w:p>
      <w:pPr>
        <w:spacing w:after="0" w:line="10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 terms of the applicable series of debt securities, upon compliance with certain conditions:</w:t>
      </w:r>
    </w:p>
    <w:p>
      <w:pPr>
        <w:spacing w:after="0" w:line="141" w:lineRule="exact"/>
        <w:rPr>
          <w:sz w:val="20"/>
          <w:szCs w:val="20"/>
          <w:color w:val="auto"/>
        </w:rPr>
      </w:pPr>
    </w:p>
    <w:p>
      <w:pPr>
        <w:ind w:left="520" w:right="120" w:hanging="257"/>
        <w:spacing w:after="0" w:line="29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139" w:lineRule="exact"/>
        <w:rPr>
          <w:sz w:val="20"/>
          <w:szCs w:val="20"/>
          <w:color w:val="auto"/>
        </w:rPr>
      </w:pPr>
    </w:p>
    <w:p>
      <w:pPr>
        <w:ind w:left="520" w:right="80" w:hanging="257"/>
        <w:spacing w:after="0" w:line="26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 and</w:t>
      </w:r>
    </w:p>
    <w:p>
      <w:pPr>
        <w:spacing w:after="0" w:line="99" w:lineRule="exact"/>
        <w:rPr>
          <w:rFonts w:ascii="Times New Roman" w:cs="Times New Roman" w:eastAsia="Times New Roman" w:hAnsi="Times New Roman"/>
          <w:sz w:val="14"/>
          <w:szCs w:val="14"/>
          <w:color w:val="auto"/>
        </w:rPr>
      </w:pPr>
    </w:p>
    <w:p>
      <w:pPr>
        <w:ind w:left="520" w:right="180" w:hanging="257"/>
        <w:spacing w:after="0" w:line="27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281" w:right="3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4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the material terms and provisions of the warrants that we may offer under this prospectus, which consist of warrants to purchase common shares, preferred shares, depositary shares, and/or debt securities in one or more series. Warrants may be offered independently or together with common shares, preferred shares, depositary shares, and/or debt securities offered by any prospectus supplement and may be attached to or separate from those securities.</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While the terms we have summarized below will generally apply to any future warrants we may offer under this prospectus, we will describe the particular terms of any warrants that we may offer in more detail in the applicable prospectus supplement. The specific terms of any warrants may differ from the description provided below as a result of negotiations with third parties in connection with the issuance of those warrants, as well as for other reasons. Because the terms of any warrants we offer under a prospectus supplement may differ from the terms we describe below, you should rely solely on information in the applicable prospectus supplement if that summary is different from the summary in this prospectus.</w:t>
      </w:r>
    </w:p>
    <w:p>
      <w:pPr>
        <w:spacing w:after="0" w:line="98"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4"/>
          <w:szCs w:val="14"/>
          <w:color w:val="auto"/>
        </w:rPr>
        <w:t>We will issue the warrants under a warrant agreement, which we will enter into with a warrant agent to be selected by us.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9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We will incorporate by reference into the registration statement of which this prospectus is a part the form of warrant agreement, including a form of warrant certificate, that describes the terms of the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applicable to a particular series of warrants. We urge you to read any applicable prospectus supplement related to the warrants that we sell under this prospectus, as well as the complete warrant agreement that contain the terms of the warrants and defines your rights as a warrant holder.</w:t>
      </w:r>
    </w:p>
    <w:p>
      <w:pPr>
        <w:spacing w:after="0" w:line="9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We will describe in the applicable prospectus supplement the terms relating to a series of warrants. If warrants for the purchase of debt securities are offered, the prospectus supplement will describe the following terms, to the extent applicable:</w:t>
      </w:r>
    </w:p>
    <w:p>
      <w:pPr>
        <w:spacing w:after="0" w:line="81" w:lineRule="exact"/>
        <w:rPr>
          <w:sz w:val="20"/>
          <w:szCs w:val="20"/>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the aggregate number of warrants offered;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currencies in which the warrants are being offered;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currencies, denominations and terms of the series of debt securities that can be purchased if a holder exercises a warrant;</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series of debt securities with which the warrants are being offered and the number of warrants offered with each such debt security;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and after which the holder of the warrants can transfer them separately from the related series of debt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begins and the date on which that right expires;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27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Warrants for the purchase of debt securities will be in registered form only.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warrants for the purchase of common shares, preferred shares, or depositary shares are offered, the prospectus supplement will describe the following terms, to the extent applicable:</w:t>
      </w:r>
    </w:p>
    <w:p>
      <w:pPr>
        <w:spacing w:after="0" w:line="139" w:lineRule="exact"/>
        <w:rPr>
          <w:sz w:val="20"/>
          <w:szCs w:val="20"/>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the aggregate number of warrants offered;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that can be purchased if a holder of the warrants exercises them;</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being offered with each common share;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and after which the holder of the warrants can transfer them separately from the related common shares or preferred shares or the related depositary shares;</w:t>
      </w:r>
    </w:p>
    <w:p>
      <w:pPr>
        <w:spacing w:after="0" w:line="138" w:lineRule="exact"/>
        <w:rPr>
          <w:rFonts w:ascii="Times New Roman" w:cs="Times New Roman" w:eastAsia="Times New Roman" w:hAnsi="Times New Roman"/>
          <w:sz w:val="14"/>
          <w:szCs w:val="14"/>
          <w:color w:val="auto"/>
        </w:rPr>
      </w:pPr>
    </w:p>
    <w:p>
      <w:pPr>
        <w:ind w:left="520" w:right="280" w:hanging="257"/>
        <w:spacing w:after="0" w:line="29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common shares, preferred shares, or depositary shares that can be purchased if a holder exercises the warrant and the price at which those shares may be purchased upon exercise, including, if applicable, any provisions for changes to or adjustments in the exercise price and in the securities or other property receivable upon exercise;</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or accelerate the expiration of, the warrants;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begins and the date on which that right expires;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Warrants for the purchase of common shares, preferred shares, or depositary shares will be in registered form only.</w:t>
      </w:r>
    </w:p>
    <w:p>
      <w:pPr>
        <w:spacing w:after="0" w:line="13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 Until any warrants to purchase depositary shares or common shares or preferred shares are exercised, holders of the warrants will not have any rights of holders of the underlying depositary shares or common shares or preferred shares, including any rights to receive dividends or to exercise any voting rights, except to the extent set forth under “— Warrant Adjustments”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Exercise of Warrants</w:t>
      </w:r>
    </w:p>
    <w:p>
      <w:pPr>
        <w:spacing w:after="0" w:line="14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Each holder of a warrant is entitled to purchase the principal amount of debt securities or number of common shares or preferred shares or depositary shares, as the case may be, at the exercise price described in the applicable prospectus supplement. After the close of business on the day when the right to exercise terminates (or a later date if we extend the time for exercise), unexercised warrants will become void.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holder of warrants may exercise them by following the general procedure outlined below:</w:t>
      </w:r>
    </w:p>
    <w:p>
      <w:pPr>
        <w:spacing w:after="0" w:line="139" w:lineRule="exact"/>
        <w:rPr>
          <w:sz w:val="20"/>
          <w:szCs w:val="20"/>
          <w:color w:val="auto"/>
        </w:rPr>
      </w:pPr>
    </w:p>
    <w:p>
      <w:pPr>
        <w:ind w:left="520" w:hanging="257"/>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to the warrant agent the payment required by the applicable prospectus supplement to purchase the underlying security;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properly complete and sign the reverse side of the warrant certificate representing the warrants;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the warrant certificate representing the warrants to the warrant agent within five business days of the warrant agent receiving payment of the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60"/>
          </w:cols>
          <w:pgMar w:left="300" w:top="1281" w:right="339" w:bottom="1440" w:gutter="0" w:footer="0" w:header="0"/>
        </w:sectPr>
      </w:pPr>
    </w:p>
    <w:bookmarkStart w:id="34" w:name="page35"/>
    <w:bookmarkEnd w:id="34"/>
    <w:p>
      <w:pPr>
        <w:ind w:right="20"/>
        <w:spacing w:after="0" w:line="264" w:lineRule="auto"/>
        <w:rPr>
          <w:sz w:val="20"/>
          <w:szCs w:val="20"/>
          <w:color w:val="auto"/>
        </w:rPr>
      </w:pPr>
      <w:r>
        <w:rPr>
          <w:rFonts w:ascii="Times New Roman" w:cs="Times New Roman" w:eastAsia="Times New Roman" w:hAnsi="Times New Roman"/>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debt securities or shares of common shares or preferred shares or depositary shares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Amendments and Supplements to the Warrant Agreements</w:t>
      </w:r>
    </w:p>
    <w:p>
      <w:pPr>
        <w:spacing w:after="0" w:line="141"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4"/>
          <w:szCs w:val="14"/>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Adjustments</w:t>
      </w:r>
    </w:p>
    <w:p>
      <w:pPr>
        <w:spacing w:after="0" w:line="14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Unless the applicable prospectus supplement states otherwise, the exercise price of, and the number of securities covered by, a warrant for depositary shares or shares of common shares or preferred shares will be adjusted proportionately if we subdivide or combine our common shares or preferred shares, as applicable. In addition, unless the prospectus supplement states otherwise, if we, without payment:</w:t>
      </w:r>
    </w:p>
    <w:p>
      <w:pPr>
        <w:spacing w:after="0" w:line="93" w:lineRule="exact"/>
        <w:rPr>
          <w:sz w:val="20"/>
          <w:szCs w:val="20"/>
          <w:color w:val="auto"/>
        </w:rPr>
      </w:pPr>
    </w:p>
    <w:p>
      <w:pPr>
        <w:ind w:left="520" w:right="240" w:hanging="257"/>
        <w:spacing w:after="0" w:line="29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shares of common shares or preferred shares or other securities convertible into or exchangeable for common shares or preferred shares, or any rights to subscribe for, purchase or otherwise acquire any of the foregoing, as a dividend or distribution to all or substantially all holders of our common shares or preferred shares;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any cash to all or substantially all holders of our common shares or preferred shares, other than a cash dividend paid out of our current or retained earnings;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any evidence of our indebtedness or rights to subscribe for or purchase our indebtedness to all or substantially all holders of our common shares or preferred shares; or</w:t>
      </w:r>
    </w:p>
    <w:p>
      <w:pPr>
        <w:spacing w:after="0" w:line="138" w:lineRule="exact"/>
        <w:rPr>
          <w:rFonts w:ascii="Times New Roman" w:cs="Times New Roman" w:eastAsia="Times New Roman" w:hAnsi="Times New Roman"/>
          <w:sz w:val="14"/>
          <w:szCs w:val="14"/>
          <w:color w:val="auto"/>
        </w:rPr>
      </w:pPr>
    </w:p>
    <w:p>
      <w:pPr>
        <w:ind w:left="520" w:right="300" w:hanging="257"/>
        <w:spacing w:after="0" w:line="29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common shares, preferred shares or additional shares or other securities or property to all or substantially all holders of our common shares or preferred shares by way of spinoff, split-up, reclassification, combination of shares or similar corporate rearrangement;</w:t>
      </w:r>
    </w:p>
    <w:p>
      <w:pPr>
        <w:spacing w:after="0" w:line="81"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4"/>
          <w:szCs w:val="14"/>
          <w:color w:val="auto"/>
        </w:rPr>
        <w:t>then the holders of common share warrants, preferred share warrants, or depositary share warrants will be entitled to receive upon exercise of the warrants, in addition to the securities otherwise receivable upon exercise of the warrants and without paying any additional consideration, the amount of shares and other securities and property such holders would have been entitled to receive had they held the common shares or preferred shares or depositary shares issuable under the warrants on the dates on which holders of those securities received or became entitled to receive such additional shares and other securities and property.</w:t>
      </w:r>
    </w:p>
    <w:p>
      <w:pPr>
        <w:spacing w:after="0" w:line="9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Except as stated above, the exercise price and number of securities covered by a warrant for common shares, preferred shares, or depositary shares,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common share warrants, preferred share warrants or depositary share warrants may have additional rights under the following circumstances:</w:t>
      </w:r>
    </w:p>
    <w:p>
      <w:pPr>
        <w:spacing w:after="0" w:line="139" w:lineRule="exact"/>
        <w:rPr>
          <w:sz w:val="20"/>
          <w:szCs w:val="20"/>
          <w:color w:val="auto"/>
        </w:rPr>
      </w:pPr>
    </w:p>
    <w:p>
      <w:pPr>
        <w:ind w:left="520" w:hanging="257"/>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reclassifications, capital reorganizations or changes of the common shares or preferred shares;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67"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w:t>
      </w:r>
    </w:p>
    <w:p>
      <w:pPr>
        <w:sectPr>
          <w:pgSz w:w="11900" w:h="16838" w:orient="portrait"/>
          <w:cols w:equalWidth="0" w:num="1">
            <w:col w:w="11260"/>
          </w:cols>
          <w:pgMar w:left="300" w:top="1281" w:right="339" w:bottom="1440" w:gutter="0" w:footer="0" w:header="0"/>
        </w:sectPr>
      </w:pPr>
    </w:p>
    <w:bookmarkStart w:id="35" w:name="page36"/>
    <w:bookmarkEnd w:id="35"/>
    <w:p>
      <w:pPr>
        <w:ind w:left="520" w:hanging="257"/>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share exchanges, mergers, or similar transactions involving us that result in changes of the common shares or preferred shares; or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sales or dispositions to another entity of all or substantially all of our property and assets.</w:t>
      </w:r>
    </w:p>
    <w:p>
      <w:pPr>
        <w:spacing w:after="0" w:line="13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If one of the above transactions occurs and holders of our common shares, preferred shares, or depositary shares are entitled to receive shares, securities or other property with respect to or in exchange for their securities, the holders of the common share warrants, preferred share warrants, or depositary share warrants then outstanding, as applicable, will be entitled to receive upon exercise of their warrants the kind and amount of shares and other securities or property that they would have received upon the applicable transaction if they had exercised their warrants immediately before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860"/>
          </w:cols>
          <w:pgMar w:left="300" w:top="1281" w:right="7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the general features of the rights that we may offer under this prospectus. We may issue rights to our shareholders to purchase our common shares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spacing w:after="0" w:line="102" w:lineRule="exact"/>
        <w:rPr>
          <w:sz w:val="20"/>
          <w:szCs w:val="20"/>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for determining the persons entitled to participate in the rights distribution;</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for the rights;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or amount of underlying securities purchasable upon exercise of the rights;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rights issued to each shareholder and the number of rights outstanding, if any;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are transferable;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 will expire;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rights include an over-subscription privilege with respect to unsubscribed securities;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anti-dilution provisions of the rights, if any;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rights, including terms, procedures and limitations relating to the distribution, exchange and exercise of the rights.</w:t>
      </w:r>
    </w:p>
    <w:p>
      <w:pPr>
        <w:spacing w:after="0" w:line="13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shareholders, to or through agents, underwriters or dealers or through a combination of such methods, including pursuant to standby underwriting arrangements,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00" w:top="1279"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4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following description summarizes the general features of the purchase contracts that we may offer under this prospectus. While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27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for us to sell to holders, a specific or variable number of our, or an unaffiliated entity’s, securities at a future date or dates. Alternatively, the purchase contracts may obligate us to purchase from holders, and obligate holders to sell to us, a specific or varying number of our securities.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offer any purchase contracts, certain terms of that series of purchase contracts will be described in the applicable prospectus supplement, including, without limitation, the following:</w:t>
      </w:r>
    </w:p>
    <w:p>
      <w:pPr>
        <w:spacing w:after="0" w:line="139" w:lineRule="exact"/>
        <w:rPr>
          <w:sz w:val="20"/>
          <w:szCs w:val="20"/>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the securities or other property subject to the purchase contracts (which may be determined by reference to a specific formula described in the purchase contracts);</w:t>
      </w:r>
    </w:p>
    <w:p>
      <w:pPr>
        <w:spacing w:after="0" w:line="138" w:lineRule="exact"/>
        <w:rPr>
          <w:rFonts w:ascii="Times New Roman" w:cs="Times New Roman" w:eastAsia="Times New Roman" w:hAnsi="Times New Roman"/>
          <w:sz w:val="14"/>
          <w:szCs w:val="14"/>
          <w:color w:val="auto"/>
        </w:rPr>
      </w:pPr>
    </w:p>
    <w:p>
      <w:pPr>
        <w:ind w:left="520" w:right="40" w:hanging="257"/>
        <w:spacing w:after="0" w:line="291"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issued separately, or as a part of units each consisting of a purchase contract and one or more of our other securities or securities of an unaffiliated entity, including U.S. Treasury securities, securing the holder’s obligations under the purchase contract;</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 for us to make periodic payments to holders or vice versa, and whether the payments are unsecured or pre-funded;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purchase contracts;</w:t>
      </w:r>
    </w:p>
    <w:p>
      <w:pPr>
        <w:spacing w:after="0" w:line="138" w:lineRule="exact"/>
        <w:rPr>
          <w:rFonts w:ascii="Times New Roman" w:cs="Times New Roman" w:eastAsia="Times New Roman" w:hAnsi="Times New Roman"/>
          <w:sz w:val="14"/>
          <w:szCs w:val="14"/>
          <w:color w:val="auto"/>
        </w:rPr>
      </w:pPr>
    </w:p>
    <w:p>
      <w:pPr>
        <w:ind w:left="520" w:right="320" w:hanging="257"/>
        <w:spacing w:after="0" w:line="291"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to be prepaid or not;</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to be settled by delivery, or by reference or linkage to the value, performance or level of the securities subject to purchase under the purchase contract;</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acceleration, cancellation, termination or other provisions relating to the settlement of the purchase contracts;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considerations applicable to the purchase contracts;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will be issued in fully registered or global form;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purchase contracts and any securities subject to such purchase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279" w:right="31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We may issue units comprising two or more securities described in this prospectus in any combination. For example, we might issue units consisting of a combination of debt securities and warrants to purchase common shares.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9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when filed by us in a future Exchange Act report or as an amendment to the Registration Statement that this prospectus forms a part of, see “Where You Can Find Additional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relating to any particular issuance of units will describe the terms of those units, including, to the extent applicable, the following:</w:t>
      </w:r>
    </w:p>
    <w:p>
      <w:pPr>
        <w:spacing w:after="0" w:line="139" w:lineRule="exact"/>
        <w:rPr>
          <w:sz w:val="20"/>
          <w:szCs w:val="20"/>
          <w:color w:val="auto"/>
        </w:rPr>
      </w:pPr>
    </w:p>
    <w:p>
      <w:pPr>
        <w:ind w:left="520" w:hanging="257"/>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the securities comprising the units, including whether and under what circumstances those securities may be held or transferred separately;</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for the issuance, payment, settlement, transfer or exchange of the units or of the securities comprising the units; and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280"/>
          </w:cols>
          <w:pgMar w:left="300" w:top="1279" w:right="319" w:bottom="1440" w:gutter="0" w:footer="0" w:header="0"/>
        </w:sectPr>
      </w:pPr>
    </w:p>
    <w:bookmarkStart w:id="39" w:name="page40"/>
    <w:bookmarkEnd w:id="39"/>
    <w:p>
      <w:pPr>
        <w:ind w:left="4720"/>
        <w:spacing w:after="0"/>
        <w:rPr>
          <w:sz w:val="20"/>
          <w:szCs w:val="20"/>
          <w:color w:val="auto"/>
        </w:rPr>
      </w:pPr>
      <w:r>
        <w:rPr>
          <w:rFonts w:ascii="Times New Roman" w:cs="Times New Roman" w:eastAsia="Times New Roman" w:hAnsi="Times New Roman"/>
          <w:sz w:val="14"/>
          <w:szCs w:val="14"/>
          <w:b w:val="1"/>
          <w:bCs w:val="1"/>
          <w:color w:val="auto"/>
        </w:rPr>
        <w:t>SELLING SHAREHOLDERS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 relates to the possible resale of an undetermined number of common shares from time to time by certain selling shareholders to be named in prospectus supplement(s).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460"/>
          </w:cols>
          <w:pgMar w:left="300" w:top="1279" w:right="11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41"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4"/>
          <w:szCs w:val="14"/>
          <w:color w:val="auto"/>
        </w:rPr>
        <w:t>We or any selling shareholder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520" w:hanging="257"/>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 or</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 above methods of sale.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prospectus supplement will indicate if the securities offered thereby will be listed on any securities exchange.</w:t>
      </w:r>
    </w:p>
    <w:p>
      <w:pPr>
        <w:spacing w:after="0" w:line="139" w:lineRule="exact"/>
        <w:rPr>
          <w:sz w:val="20"/>
          <w:szCs w:val="20"/>
          <w:color w:val="auto"/>
        </w:rPr>
      </w:pPr>
    </w:p>
    <w:p>
      <w:pPr>
        <w:ind w:right="220"/>
        <w:spacing w:after="0" w:line="291" w:lineRule="auto"/>
        <w:rPr>
          <w:sz w:val="20"/>
          <w:szCs w:val="20"/>
          <w:color w:val="auto"/>
        </w:rPr>
      </w:pPr>
      <w:r>
        <w:rPr>
          <w:rFonts w:ascii="Times New Roman" w:cs="Times New Roman" w:eastAsia="Times New Roman" w:hAnsi="Times New Roman"/>
          <w:sz w:val="14"/>
          <w:szCs w:val="14"/>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81" w:lineRule="exact"/>
        <w:rPr>
          <w:sz w:val="20"/>
          <w:szCs w:val="20"/>
          <w:color w:val="auto"/>
        </w:rPr>
      </w:pPr>
    </w:p>
    <w:p>
      <w:pPr>
        <w:ind w:right="440"/>
        <w:spacing w:after="0" w:line="291"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8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the applicable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02"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(the “Securities Act”), and any discounts and commissions received by them and any profit realized by them on resale of the securities may be deemed to be underwriting discounts and commissions. We or any selling shareholder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0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option to purchase additional securities,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280"/>
          </w:cols>
          <w:pgMar w:left="300" w:top="1279" w:right="319" w:bottom="1440" w:gutter="0" w:footer="0" w:header="0"/>
        </w:sectPr>
      </w:pPr>
    </w:p>
    <w:bookmarkStart w:id="41" w:name="page42"/>
    <w:bookmarkEnd w:id="41"/>
    <w:p>
      <w:pPr>
        <w:ind w:right="20"/>
        <w:spacing w:after="0" w:line="291" w:lineRule="auto"/>
        <w:rPr>
          <w:sz w:val="20"/>
          <w:szCs w:val="20"/>
          <w:color w:val="auto"/>
        </w:rPr>
      </w:pPr>
      <w:r>
        <w:rPr>
          <w:rFonts w:ascii="Times New Roman" w:cs="Times New Roman" w:eastAsia="Times New Roman" w:hAnsi="Times New Roman"/>
          <w:sz w:val="14"/>
          <w:szCs w:val="14"/>
          <w:color w:val="auto"/>
        </w:rPr>
        <w:t>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0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may engage in at-the-market offerings into an existing trading market in accordance with Rule 415(a)(4) under the Securities Act. In addition, we or any selling shareholder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shares, and may use securities received from us in settlement of those derivatives to close out any related open borrowings of our common shares. In addition, we or any selling shareholder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280"/>
          </w:cols>
          <w:pgMar w:left="300" w:top="1282" w:right="31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VALIDITY OF SECURITIES</w:t>
      </w:r>
    </w:p>
    <w:p>
      <w:pPr>
        <w:spacing w:after="0" w:line="14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Unless otherwise indicated in the applicable prospectus supplement, the validity of the securities in respect of which this prospectus is being delivered and certain other matters of British Virgin Islands law will be passed upon for us by Maples and Calder, our special British Virgin Islands counsel, and the validity of the depositary shares, debt securities, warrants, rights, purchase contracts and units and certain other matters of New York law will be passed upon for us by Sullivan &amp; Cromwell LLP, New York,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220"/>
          </w:cols>
          <w:pgMar w:left="300" w:top="1279" w:right="37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4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consolidated financial statements included in our Annual Report on Form 10-K for the year ended December 31, 2025, and the effectiveness of our internal control over financial reporting as of December 31, 2025,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260"/>
          </w:cols>
          <w:pgMar w:left="300" w:top="127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p>
      <w:pPr>
        <w:spacing w:after="0" w:line="141"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4"/>
          <w:szCs w:val="14"/>
          <w:color w:val="auto"/>
        </w:rPr>
        <w:t>The following table sets forth the various expenses to be incurred in connection with the sale and distribution of the securities being registered hereby, all of which will be borne by Biohaven. All amounts shown are estimates.</w:t>
      </w:r>
    </w:p>
    <w:p>
      <w:pPr>
        <w:spacing w:after="0" w:line="108"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1"/>
          <w:szCs w:val="11"/>
          <w:b w:val="1"/>
          <w:bCs w:val="1"/>
          <w:color w:val="auto"/>
        </w:rPr>
        <w:t>Amount to be</w:t>
      </w:r>
    </w:p>
    <w:p>
      <w:pPr>
        <w:spacing w:after="0" w:line="5"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1"/>
          <w:szCs w:val="11"/>
          <w:b w:val="1"/>
          <w:bCs w:val="1"/>
          <w:color w:val="auto"/>
        </w:rPr>
        <w:t>paid</w:t>
      </w:r>
    </w:p>
    <w:p>
      <w:pPr>
        <w:sectPr>
          <w:pgSz w:w="11900" w:h="16838" w:orient="portrait"/>
          <w:cols w:equalWidth="0" w:num="1">
            <w:col w:w="11280"/>
          </w:cols>
          <w:pgMar w:left="300" w:top="1279" w:right="31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-106045</wp:posOffset>
            </wp:positionV>
            <wp:extent cx="7160895" cy="122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60895" cy="12255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New York Stock Exchange listing fees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895" cy="115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60895" cy="11557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Fees and expenses of qualification under state securities laws (including legal fees)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Accountants’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895" cy="1155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60895" cy="11557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Printing fees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Rating agency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160895" cy="115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60895" cy="11557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Trustee and depositary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60895" cy="122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60895" cy="1225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br w:type="column"/>
      </w:r>
    </w:p>
    <w:p>
      <w:pPr>
        <w:ind w:left="1218" w:hanging="1218"/>
        <w:spacing w:after="0" w:line="192" w:lineRule="auto"/>
        <w:tabs>
          <w:tab w:leader="none" w:pos="1218" w:val="left"/>
        </w:tabs>
        <w:numPr>
          <w:ilvl w:val="0"/>
          <w:numId w:val="34"/>
        </w:numPr>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6"/>
          <w:szCs w:val="6"/>
          <w:color w:val="auto"/>
        </w:rPr>
        <w:t>(1)</w:t>
      </w:r>
    </w:p>
    <w:p>
      <w:pPr>
        <w:spacing w:after="0" w:line="82"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8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9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9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9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9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9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100" w:lineRule="exact"/>
        <w:rPr>
          <w:rFonts w:ascii="Times New Roman" w:cs="Times New Roman" w:eastAsia="Times New Roman" w:hAnsi="Times New Roman"/>
          <w:sz w:val="12"/>
          <w:szCs w:val="12"/>
          <w:color w:val="auto"/>
          <w:vertAlign w:val="subscript"/>
        </w:rPr>
      </w:pPr>
    </w:p>
    <w:p>
      <w:pPr>
        <w:ind w:left="1218"/>
        <w:spacing w:after="0"/>
        <w:rPr>
          <w:rFonts w:ascii="Times New Roman" w:cs="Times New Roman" w:eastAsia="Times New Roman" w:hAnsi="Times New Roman"/>
          <w:sz w:val="12"/>
          <w:szCs w:val="12"/>
          <w:color w:val="auto"/>
          <w:vertAlign w:val="subscript"/>
        </w:rPr>
      </w:pPr>
      <w:r>
        <w:rPr>
          <w:rFonts w:ascii="Times New Roman" w:cs="Times New Roman" w:eastAsia="Times New Roman" w:hAnsi="Times New Roman"/>
          <w:sz w:val="8"/>
          <w:szCs w:val="8"/>
          <w:color w:val="auto"/>
        </w:rPr>
        <w:t>(2)</w:t>
      </w:r>
    </w:p>
    <w:p>
      <w:pPr>
        <w:spacing w:after="0" w:line="94" w:lineRule="exact"/>
        <w:rPr>
          <w:sz w:val="20"/>
          <w:szCs w:val="20"/>
          <w:color w:val="auto"/>
        </w:rPr>
      </w:pPr>
    </w:p>
    <w:p>
      <w:pPr>
        <w:sectPr>
          <w:pgSz w:w="11900" w:h="16838" w:orient="portrait"/>
          <w:cols w:equalWidth="0" w:num="2">
            <w:col w:w="9002" w:space="720"/>
            <w:col w:w="1558"/>
          </w:cols>
          <w:pgMar w:left="300" w:top="1279" w:right="319" w:bottom="1440" w:gutter="0" w:footer="0" w:header="0"/>
          <w:type w:val="continuous"/>
        </w:sectPr>
      </w:pPr>
    </w:p>
    <w:tbl>
      <w:tblPr>
        <w:tblLayout w:type="fixed"/>
        <w:tblInd w:w="20" w:type="dxa"/>
        <w:tblCellMar>
          <w:top w:w="0" w:type="dxa"/>
          <w:left w:w="0" w:type="dxa"/>
          <w:bottom w:w="0" w:type="dxa"/>
          <w:right w:w="0" w:type="dxa"/>
        </w:tblCellMar>
      </w:tblPr>
      <w:tr>
        <w:trPr>
          <w:trHeight w:val="136"/>
        </w:trPr>
        <w:tc>
          <w:tcPr>
            <w:tcW w:w="9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660" w:type="dxa"/>
            <w:vAlign w:val="bottom"/>
            <w:tcBorders>
              <w:top w:val="single" w:sz="8" w:color="auto"/>
            </w:tcBorders>
            <w:vMerge w:val="restart"/>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61"/>
        </w:trPr>
        <w:tc>
          <w:tcPr>
            <w:tcW w:w="9680" w:type="dxa"/>
            <w:vAlign w:val="bottom"/>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260" w:hanging="254"/>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Biohaven is deferring payment of the registration fee in reliance on Rule 456(b) and Rule 457(r) under the Securities Act of 1933.</w:t>
      </w:r>
    </w:p>
    <w:p>
      <w:pPr>
        <w:spacing w:after="0" w:line="9" w:lineRule="exact"/>
        <w:rPr>
          <w:rFonts w:ascii="Times New Roman" w:cs="Times New Roman" w:eastAsia="Times New Roman" w:hAnsi="Times New Roman"/>
          <w:sz w:val="11"/>
          <w:szCs w:val="11"/>
          <w:color w:val="auto"/>
        </w:rPr>
      </w:pPr>
    </w:p>
    <w:p>
      <w:pPr>
        <w:ind w:left="260" w:hanging="254"/>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fees are calculated based on the number of issuances and amount of securities offered and accordingly cannot be estimated at this time.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4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British Virgin Islands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 or she believed to be in the best interests of the company and, in the case of criminal proceedings, the person had no reasonable cause to believe that his or her conduct was unlawful. Our Amended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0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4"/>
          <w:szCs w:val="14"/>
          <w:color w:val="auto"/>
        </w:rPr>
        <w:t>Further, we have entered into indemnification agreements with each of our directors and executive officers that may be broader than the specific indemnification provisions contained under British Virgin Islands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98"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that are included in our Amended Memorandum and Articles of Association and in indemnification agreements that we entered into with our directors and executive officers may discourage shareholders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shareholders. Further, a shareholder’s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1280"/>
          </w:cols>
          <w:pgMar w:left="300" w:top="1279" w:right="319" w:bottom="1440" w:gutter="0" w:footer="0" w:header="0"/>
          <w:type w:val="continuous"/>
        </w:sectPr>
      </w:pPr>
    </w:p>
    <w:bookmarkStart w:id="45" w:name="page46"/>
    <w:bookmarkEnd w:id="45"/>
    <w:p>
      <w:pPr>
        <w:ind w:right="240"/>
        <w:spacing w:after="0" w:line="291" w:lineRule="auto"/>
        <w:rPr>
          <w:sz w:val="20"/>
          <w:szCs w:val="20"/>
          <w:color w:val="auto"/>
        </w:rPr>
      </w:pPr>
      <w:r>
        <w:rPr>
          <w:rFonts w:ascii="Times New Roman" w:cs="Times New Roman" w:eastAsia="Times New Roman" w:hAnsi="Times New Roman"/>
          <w:sz w:val="14"/>
          <w:szCs w:val="14"/>
          <w:color w:val="auto"/>
        </w:rPr>
        <w:t>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8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herewith or incorporated herein by reference unless otherwise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740" w:type="dxa"/>
            <w:vAlign w:val="bottom"/>
            <w:gridSpan w:val="6"/>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5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No.</w:t>
            </w:r>
          </w:p>
        </w:tc>
        <w:tc>
          <w:tcPr>
            <w:tcW w:w="7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7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22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3"/>
                <w:szCs w:val="13"/>
                <w:color w:val="auto"/>
              </w:rPr>
            </w:pPr>
          </w:p>
        </w:tc>
        <w:tc>
          <w:tcPr>
            <w:tcW w:w="10220" w:type="dxa"/>
            <w:vAlign w:val="bottom"/>
            <w:gridSpan w:val="9"/>
          </w:tcPr>
          <w:p>
            <w:pPr>
              <w:spacing w:after="0" w:line="154" w:lineRule="exact"/>
              <w:rPr>
                <w:rFonts w:ascii="Times New Roman" w:cs="Times New Roman" w:eastAsia="Times New Roman" w:hAnsi="Times New Roman"/>
                <w:sz w:val="14"/>
                <w:szCs w:val="14"/>
                <w:color w:val="0000FF"/>
              </w:rPr>
            </w:pPr>
            <w:hyperlink r:id="rId31">
              <w:r>
                <w:rPr>
                  <w:rFonts w:ascii="Times New Roman" w:cs="Times New Roman" w:eastAsia="Times New Roman" w:hAnsi="Times New Roman"/>
                  <w:sz w:val="14"/>
                  <w:szCs w:val="14"/>
                  <w:color w:val="0000FF"/>
                </w:rPr>
                <w:t>Amended &amp; Restated Memorandum and Articles of Association of Biohaven Ltd. (incorporated by reference to Exhibit 3.1 to the Company’s Current Report on Form 8-K (File</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tcBorders>
              <w:top w:val="single" w:sz="8" w:color="0000FF"/>
              <w:bottom w:val="single" w:sz="8" w:color="0000FF"/>
            </w:tcBorders>
            <w:gridSpan w:val="2"/>
          </w:tcPr>
          <w:p>
            <w:pPr>
              <w:spacing w:after="0" w:line="119" w:lineRule="exact"/>
              <w:rPr>
                <w:rFonts w:ascii="Times New Roman" w:cs="Times New Roman" w:eastAsia="Times New Roman" w:hAnsi="Times New Roman"/>
                <w:sz w:val="13"/>
                <w:szCs w:val="13"/>
                <w:color w:val="0000FF"/>
              </w:rPr>
            </w:pPr>
            <w:hyperlink r:id="rId31">
              <w:r>
                <w:rPr>
                  <w:rFonts w:ascii="Times New Roman" w:cs="Times New Roman" w:eastAsia="Times New Roman" w:hAnsi="Times New Roman"/>
                  <w:sz w:val="13"/>
                  <w:szCs w:val="13"/>
                  <w:color w:val="0000FF"/>
                </w:rPr>
                <w:t>No. 001-41477) filed on October 3, 2022).</w:t>
              </w:r>
            </w:hyperlink>
          </w:p>
        </w:tc>
        <w:tc>
          <w:tcPr>
            <w:tcW w:w="7640" w:type="dxa"/>
            <w:vAlign w:val="bottom"/>
            <w:tcBorders>
              <w:top w:val="single" w:sz="8" w:color="0000FF"/>
            </w:tcBorders>
            <w:gridSpan w:val="6"/>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0220" w:type="dxa"/>
            <w:vAlign w:val="bottom"/>
            <w:gridSpan w:val="9"/>
          </w:tcPr>
          <w:p>
            <w:pPr>
              <w:spacing w:after="0"/>
              <w:rPr>
                <w:rFonts w:ascii="Times New Roman" w:cs="Times New Roman" w:eastAsia="Times New Roman" w:hAnsi="Times New Roman"/>
                <w:sz w:val="14"/>
                <w:szCs w:val="14"/>
                <w:color w:val="0000FF"/>
              </w:rPr>
            </w:pPr>
            <w:hyperlink r:id="rId32">
              <w:r>
                <w:rPr>
                  <w:rFonts w:ascii="Times New Roman" w:cs="Times New Roman" w:eastAsia="Times New Roman" w:hAnsi="Times New Roman"/>
                  <w:sz w:val="14"/>
                  <w:szCs w:val="14"/>
                  <w:color w:val="0000FF"/>
                </w:rPr>
                <w:t>Form of Indenture (incorporated by reference to Exhibit 4.1 to the Company’s Registration Statement on Form S-3 filed on October 2, 2023 (No. 333-274822)).</w:t>
              </w:r>
            </w:hyperlink>
          </w:p>
        </w:tc>
        <w:tc>
          <w:tcPr>
            <w:tcW w:w="0" w:type="dxa"/>
            <w:vAlign w:val="bottom"/>
          </w:tcPr>
          <w:p>
            <w:pPr>
              <w:spacing w:after="0"/>
              <w:rPr>
                <w:sz w:val="1"/>
                <w:szCs w:val="1"/>
                <w:color w:val="auto"/>
              </w:rPr>
            </w:pPr>
          </w:p>
        </w:tc>
      </w:tr>
      <w:tr>
        <w:trPr>
          <w:trHeight w:val="19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91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auto"/>
              </w:rPr>
              <w:t>Form of Depositary Agreement.</w:t>
            </w:r>
          </w:p>
        </w:tc>
        <w:tc>
          <w:tcPr>
            <w:tcW w:w="10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Global Note.</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Common Share Warrant Agreement and Warrant Certificate.</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Preferred Share Warrant Agreement and Warrant Certificate.</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Debt Securities Warrant Agreement and Warrant Certificate.</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Rights Agreement.</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Purchase Contract.</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of Unit Agreement and Unit Certificate.</w:t>
            </w: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3"/>
                <w:szCs w:val="13"/>
                <w:color w:val="auto"/>
              </w:rPr>
            </w:pPr>
          </w:p>
        </w:tc>
        <w:tc>
          <w:tcPr>
            <w:tcW w:w="10220" w:type="dxa"/>
            <w:vAlign w:val="bottom"/>
            <w:gridSpan w:val="9"/>
          </w:tcPr>
          <w:p>
            <w:pPr>
              <w:spacing w:after="0" w:line="154" w:lineRule="exact"/>
              <w:rPr>
                <w:sz w:val="20"/>
                <w:szCs w:val="20"/>
                <w:color w:val="auto"/>
              </w:rPr>
            </w:pPr>
            <w:r>
              <w:rPr>
                <w:rFonts w:ascii="Times New Roman" w:cs="Times New Roman" w:eastAsia="Times New Roman" w:hAnsi="Times New Roman"/>
                <w:sz w:val="14"/>
                <w:szCs w:val="14"/>
                <w:color w:val="0000FF"/>
              </w:rPr>
              <w:t>Opinion of Maples and Calder as to legality of common shares, preferred shares, debt securities, warrants, rights, purchase contracts, units and depositary shares (British Virgin</w:t>
            </w: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top w:val="single" w:sz="8" w:color="0000FF"/>
              <w:bottom w:val="single" w:sz="8" w:color="0000FF"/>
            </w:tcBorders>
          </w:tcPr>
          <w:p>
            <w:pPr>
              <w:spacing w:after="0" w:line="119" w:lineRule="exact"/>
              <w:rPr>
                <w:sz w:val="20"/>
                <w:szCs w:val="20"/>
                <w:color w:val="auto"/>
              </w:rPr>
            </w:pPr>
            <w:r>
              <w:rPr>
                <w:rFonts w:ascii="Times New Roman" w:cs="Times New Roman" w:eastAsia="Times New Roman" w:hAnsi="Times New Roman"/>
                <w:sz w:val="13"/>
                <w:szCs w:val="13"/>
                <w:color w:val="0000FF"/>
              </w:rPr>
              <w:t>Islands law).</w:t>
            </w:r>
          </w:p>
        </w:tc>
        <w:tc>
          <w:tcPr>
            <w:tcW w:w="9300" w:type="dxa"/>
            <w:vAlign w:val="bottom"/>
            <w:tcBorders>
              <w:top w:val="single" w:sz="8" w:color="0000FF"/>
            </w:tcBorders>
            <w:gridSpan w:val="6"/>
          </w:tcPr>
          <w:p>
            <w:pPr>
              <w:spacing w:after="0"/>
              <w:rPr>
                <w:sz w:val="10"/>
                <w:szCs w:val="10"/>
                <w:color w:val="auto"/>
              </w:rPr>
            </w:pPr>
          </w:p>
        </w:tc>
        <w:tc>
          <w:tcPr>
            <w:tcW w:w="1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Opinion of Sullivan &amp; Cromwell LLP relating to the debt securities, warrants, rights, purchase contracts, units and depositary shares (New York law).</w:t>
            </w:r>
          </w:p>
        </w:tc>
        <w:tc>
          <w:tcPr>
            <w:tcW w:w="0" w:type="dxa"/>
            <w:vAlign w:val="bottom"/>
          </w:tcPr>
          <w:p>
            <w:pPr>
              <w:spacing w:after="0"/>
              <w:rPr>
                <w:sz w:val="1"/>
                <w:szCs w:val="1"/>
                <w:color w:val="auto"/>
              </w:rPr>
            </w:pPr>
          </w:p>
        </w:tc>
      </w:tr>
      <w:tr>
        <w:trPr>
          <w:trHeight w:val="16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Pr>
          <w:p>
            <w:pPr>
              <w:spacing w:after="0"/>
              <w:rPr>
                <w:sz w:val="14"/>
                <w:szCs w:val="14"/>
                <w:color w:val="auto"/>
              </w:rPr>
            </w:pPr>
          </w:p>
        </w:tc>
        <w:tc>
          <w:tcPr>
            <w:tcW w:w="4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 Firm.</w:t>
            </w:r>
          </w:p>
        </w:tc>
        <w:tc>
          <w:tcPr>
            <w:tcW w:w="3880" w:type="dxa"/>
            <w:vAlign w:val="bottom"/>
            <w:tcBorders>
              <w:top w:val="single" w:sz="8" w:color="0000FF"/>
            </w:tcBorders>
          </w:tcPr>
          <w:p>
            <w:pPr>
              <w:spacing w:after="0"/>
              <w:rPr>
                <w:sz w:val="14"/>
                <w:szCs w:val="14"/>
                <w:color w:val="auto"/>
              </w:rPr>
            </w:pPr>
          </w:p>
        </w:tc>
        <w:tc>
          <w:tcPr>
            <w:tcW w:w="16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6"/>
                <w:szCs w:val="16"/>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Consent of Maples and Calder (included in Exhibit 5.1)</w:t>
            </w:r>
          </w:p>
        </w:tc>
        <w:tc>
          <w:tcPr>
            <w:tcW w:w="0" w:type="dxa"/>
            <w:vAlign w:val="bottom"/>
          </w:tcPr>
          <w:p>
            <w:pPr>
              <w:spacing w:after="0"/>
              <w:rPr>
                <w:sz w:val="1"/>
                <w:szCs w:val="1"/>
                <w:color w:val="auto"/>
              </w:rPr>
            </w:pPr>
          </w:p>
        </w:tc>
      </w:tr>
      <w:tr>
        <w:trPr>
          <w:trHeight w:val="18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5"/>
                <w:szCs w:val="15"/>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Consent of Sullivan &amp; Cromwell LLP (included in Exhibit 5.2)</w:t>
            </w:r>
          </w:p>
        </w:tc>
        <w:tc>
          <w:tcPr>
            <w:tcW w:w="0" w:type="dxa"/>
            <w:vAlign w:val="bottom"/>
          </w:tcPr>
          <w:p>
            <w:pPr>
              <w:spacing w:after="0"/>
              <w:rPr>
                <w:sz w:val="1"/>
                <w:szCs w:val="1"/>
                <w:color w:val="auto"/>
              </w:rPr>
            </w:pPr>
          </w:p>
        </w:tc>
      </w:tr>
      <w:tr>
        <w:trPr>
          <w:trHeight w:val="154"/>
        </w:trPr>
        <w:tc>
          <w:tcPr>
            <w:tcW w:w="960" w:type="dxa"/>
            <w:vAlign w:val="bottom"/>
          </w:tcPr>
          <w:p>
            <w:pPr>
              <w:ind w:left="20"/>
              <w:spacing w:after="0" w:line="154" w:lineRule="exact"/>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3"/>
                <w:szCs w:val="13"/>
                <w:color w:val="auto"/>
              </w:rPr>
            </w:pPr>
          </w:p>
        </w:tc>
        <w:tc>
          <w:tcPr>
            <w:tcW w:w="10220" w:type="dxa"/>
            <w:vAlign w:val="bottom"/>
            <w:gridSpan w:val="9"/>
          </w:tcPr>
          <w:p>
            <w:pPr>
              <w:spacing w:after="0" w:line="154" w:lineRule="exact"/>
              <w:rPr>
                <w:sz w:val="20"/>
                <w:szCs w:val="20"/>
                <w:color w:val="auto"/>
              </w:rPr>
            </w:pPr>
            <w:r>
              <w:rPr>
                <w:rFonts w:ascii="Times New Roman" w:cs="Times New Roman" w:eastAsia="Times New Roman" w:hAnsi="Times New Roman"/>
                <w:sz w:val="14"/>
                <w:szCs w:val="14"/>
                <w:color w:val="0000FF"/>
              </w:rPr>
              <w:t>Powers of Attorney (included as part of the signature pages).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67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Form T-1 Statement of Eligibility under Trust Indenture Act of 1939 of Trustee under the Indenture.</w:t>
            </w:r>
          </w:p>
        </w:tc>
        <w:tc>
          <w:tcPr>
            <w:tcW w:w="0" w:type="dxa"/>
            <w:vAlign w:val="bottom"/>
          </w:tcPr>
          <w:p>
            <w:pPr>
              <w:spacing w:after="0"/>
              <w:rPr>
                <w:sz w:val="1"/>
                <w:szCs w:val="1"/>
                <w:color w:val="auto"/>
              </w:rPr>
            </w:pPr>
          </w:p>
        </w:tc>
      </w:tr>
    </w:tbl>
    <w:p>
      <w:pPr>
        <w:ind w:left="1060" w:hanging="1040"/>
        <w:spacing w:after="0"/>
        <w:tabs>
          <w:tab w:leader="none" w:pos="10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Calculation of Filing Fee Tables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4" w:lineRule="exact"/>
        <w:rPr>
          <w:sz w:val="20"/>
          <w:szCs w:val="20"/>
          <w:color w:val="auto"/>
        </w:rPr>
      </w:pPr>
    </w:p>
    <w:p>
      <w:pPr>
        <w:ind w:left="260" w:hanging="254"/>
        <w:spacing w:after="0"/>
        <w:tabs>
          <w:tab w:leader="none" w:pos="2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by amendment or as an exhibit to a document to be incorporated by reference herein in connection with an offering of the offered securities.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pacing w:after="0" w:line="139" w:lineRule="exact"/>
        <w:rPr>
          <w:sz w:val="20"/>
          <w:szCs w:val="20"/>
          <w:color w:val="auto"/>
        </w:rPr>
      </w:pPr>
    </w:p>
    <w:p>
      <w:pPr>
        <w:ind w:left="520" w:hanging="25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38" w:lineRule="exact"/>
        <w:rPr>
          <w:rFonts w:ascii="Times New Roman" w:cs="Times New Roman" w:eastAsia="Times New Roman" w:hAnsi="Times New Roman"/>
          <w:sz w:val="14"/>
          <w:szCs w:val="14"/>
          <w:color w:val="auto"/>
        </w:rPr>
      </w:pPr>
    </w:p>
    <w:p>
      <w:pPr>
        <w:ind w:left="780" w:hanging="260"/>
        <w:spacing w:after="0"/>
        <w:tabs>
          <w:tab w:leader="none" w:pos="78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80"/>
          </w:cols>
          <w:pgMar w:left="300" w:top="1281" w:right="319" w:bottom="1440" w:gutter="0" w:footer="0" w:header="0"/>
        </w:sectPr>
      </w:pPr>
    </w:p>
    <w:bookmarkStart w:id="46" w:name="page47"/>
    <w:bookmarkEnd w:id="46"/>
    <w:p>
      <w:pPr>
        <w:ind w:left="780" w:right="60" w:hanging="260"/>
        <w:spacing w:after="0" w:line="264" w:lineRule="auto"/>
        <w:tabs>
          <w:tab w:leader="none" w:pos="7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in the effective registration statement; and</w:t>
      </w:r>
    </w:p>
    <w:p>
      <w:pPr>
        <w:spacing w:after="0" w:line="99" w:lineRule="exact"/>
        <w:rPr>
          <w:rFonts w:ascii="Times New Roman" w:cs="Times New Roman" w:eastAsia="Times New Roman" w:hAnsi="Times New Roman"/>
          <w:sz w:val="14"/>
          <w:szCs w:val="14"/>
          <w:color w:val="auto"/>
        </w:rPr>
      </w:pPr>
    </w:p>
    <w:p>
      <w:pPr>
        <w:ind w:left="780" w:right="320" w:hanging="260"/>
        <w:spacing w:after="0" w:line="291" w:lineRule="auto"/>
        <w:tabs>
          <w:tab w:leader="none" w:pos="7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that paragraphs (i), (ii) and (iii) do not apply if the information required to be included in a post-effective amendment by those paragraphs is contained in reports filed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93" w:lineRule="exact"/>
        <w:rPr>
          <w:sz w:val="20"/>
          <w:szCs w:val="20"/>
          <w:color w:val="auto"/>
        </w:rPr>
      </w:pPr>
    </w:p>
    <w:p>
      <w:pPr>
        <w:ind w:left="520" w:right="200" w:hanging="257"/>
        <w:spacing w:after="0" w:line="291" w:lineRule="auto"/>
        <w:tabs>
          <w:tab w:leader="none" w:pos="51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80"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38" w:lineRule="exact"/>
        <w:rPr>
          <w:rFonts w:ascii="Times New Roman" w:cs="Times New Roman" w:eastAsia="Times New Roman" w:hAnsi="Times New Roman"/>
          <w:sz w:val="14"/>
          <w:szCs w:val="14"/>
          <w:color w:val="auto"/>
        </w:rPr>
      </w:pPr>
    </w:p>
    <w:p>
      <w:pPr>
        <w:ind w:left="520" w:hanging="257"/>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w:t>
      </w:r>
    </w:p>
    <w:p>
      <w:pPr>
        <w:spacing w:after="0" w:line="138" w:lineRule="exact"/>
        <w:rPr>
          <w:rFonts w:ascii="Times New Roman" w:cs="Times New Roman" w:eastAsia="Times New Roman" w:hAnsi="Times New Roman"/>
          <w:sz w:val="14"/>
          <w:szCs w:val="14"/>
          <w:color w:val="auto"/>
        </w:rPr>
      </w:pPr>
    </w:p>
    <w:p>
      <w:pPr>
        <w:ind w:left="780" w:right="200" w:hanging="260"/>
        <w:spacing w:after="0" w:line="291" w:lineRule="auto"/>
        <w:tabs>
          <w:tab w:leader="none" w:pos="775"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80" w:lineRule="exact"/>
        <w:rPr>
          <w:rFonts w:ascii="Times New Roman" w:cs="Times New Roman" w:eastAsia="Times New Roman" w:hAnsi="Times New Roman"/>
          <w:sz w:val="14"/>
          <w:szCs w:val="14"/>
          <w:color w:val="auto"/>
        </w:rPr>
      </w:pPr>
    </w:p>
    <w:p>
      <w:pPr>
        <w:ind w:left="780" w:hanging="260"/>
        <w:spacing w:after="0" w:line="259" w:lineRule="auto"/>
        <w:tabs>
          <w:tab w:leader="none" w:pos="77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7" w:lineRule="exact"/>
        <w:rPr>
          <w:rFonts w:ascii="Times New Roman" w:cs="Times New Roman" w:eastAsia="Times New Roman" w:hAnsi="Times New Roman"/>
          <w:sz w:val="14"/>
          <w:szCs w:val="14"/>
          <w:color w:val="auto"/>
        </w:rPr>
      </w:pPr>
    </w:p>
    <w:p>
      <w:pPr>
        <w:ind w:left="520" w:right="140" w:hanging="257"/>
        <w:spacing w:after="0" w:line="273" w:lineRule="auto"/>
        <w:tabs>
          <w:tab w:leader="none" w:pos="51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1240"/>
          </w:cols>
          <w:pgMar w:left="300" w:top="1281" w:right="359" w:bottom="1440" w:gutter="0" w:footer="0" w:header="0"/>
        </w:sectPr>
      </w:pPr>
    </w:p>
    <w:bookmarkStart w:id="47" w:name="page48"/>
    <w:bookmarkEnd w:id="47"/>
    <w:p>
      <w:pPr>
        <w:ind w:left="520" w:right="380"/>
        <w:spacing w:after="0" w:line="291" w:lineRule="auto"/>
        <w:rPr>
          <w:sz w:val="20"/>
          <w:szCs w:val="20"/>
          <w:color w:val="auto"/>
        </w:rPr>
      </w:pPr>
      <w:r>
        <w:rPr>
          <w:rFonts w:ascii="Times New Roman" w:cs="Times New Roman" w:eastAsia="Times New Roman" w:hAnsi="Times New Roman"/>
          <w:sz w:val="14"/>
          <w:szCs w:val="14"/>
          <w:color w:val="auto"/>
        </w:rPr>
        <w:t>purchaser by means of any of the following communications, the undersigned Registrant will be a seller to the purchaser and will be considered to offer or sell such securities to such purchaser:</w:t>
      </w:r>
    </w:p>
    <w:p>
      <w:pPr>
        <w:spacing w:after="0" w:line="81" w:lineRule="exact"/>
        <w:rPr>
          <w:sz w:val="20"/>
          <w:szCs w:val="20"/>
          <w:color w:val="auto"/>
        </w:rPr>
      </w:pPr>
    </w:p>
    <w:p>
      <w:pPr>
        <w:ind w:left="780" w:hanging="260"/>
        <w:spacing w:after="0"/>
        <w:tabs>
          <w:tab w:leader="none" w:pos="7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38" w:lineRule="exact"/>
        <w:rPr>
          <w:rFonts w:ascii="Times New Roman" w:cs="Times New Roman" w:eastAsia="Times New Roman" w:hAnsi="Times New Roman"/>
          <w:sz w:val="14"/>
          <w:szCs w:val="14"/>
          <w:color w:val="auto"/>
        </w:rPr>
      </w:pPr>
    </w:p>
    <w:p>
      <w:pPr>
        <w:ind w:left="760" w:hanging="240"/>
        <w:spacing w:after="0"/>
        <w:tabs>
          <w:tab w:leader="none" w:pos="76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38" w:lineRule="exact"/>
        <w:rPr>
          <w:rFonts w:ascii="Times New Roman" w:cs="Times New Roman" w:eastAsia="Times New Roman" w:hAnsi="Times New Roman"/>
          <w:sz w:val="14"/>
          <w:szCs w:val="14"/>
          <w:color w:val="auto"/>
        </w:rPr>
      </w:pPr>
    </w:p>
    <w:p>
      <w:pPr>
        <w:ind w:left="780" w:hanging="260"/>
        <w:spacing w:after="0" w:line="291" w:lineRule="auto"/>
        <w:tabs>
          <w:tab w:leader="none" w:pos="7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80" w:lineRule="exact"/>
        <w:rPr>
          <w:rFonts w:ascii="Times New Roman" w:cs="Times New Roman" w:eastAsia="Times New Roman" w:hAnsi="Times New Roman"/>
          <w:sz w:val="14"/>
          <w:szCs w:val="14"/>
          <w:color w:val="auto"/>
        </w:rPr>
      </w:pPr>
    </w:p>
    <w:p>
      <w:pPr>
        <w:ind w:left="760" w:hanging="240"/>
        <w:spacing w:after="0"/>
        <w:tabs>
          <w:tab w:leader="none" w:pos="76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38" w:lineRule="exact"/>
        <w:rPr>
          <w:rFonts w:ascii="Times New Roman" w:cs="Times New Roman" w:eastAsia="Times New Roman" w:hAnsi="Times New Roman"/>
          <w:sz w:val="14"/>
          <w:szCs w:val="14"/>
          <w:color w:val="auto"/>
        </w:rPr>
      </w:pPr>
    </w:p>
    <w:p>
      <w:pPr>
        <w:ind w:left="520" w:right="200" w:hanging="257"/>
        <w:spacing w:after="0" w:line="267" w:lineRule="auto"/>
        <w:tabs>
          <w:tab w:leader="none" w:pos="5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that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1280"/>
          </w:cols>
          <w:pgMar w:left="300" w:top="1281"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41"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Haven, State of Connecticut, on the 4th day of May, 2026.</w:t>
      </w:r>
    </w:p>
    <w:p>
      <w:pPr>
        <w:spacing w:after="0" w:line="1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BIOHAVEN LTD.</w:t>
      </w:r>
    </w:p>
    <w:p>
      <w:pPr>
        <w:spacing w:after="0" w:line="227" w:lineRule="exact"/>
        <w:rPr>
          <w:sz w:val="20"/>
          <w:szCs w:val="20"/>
          <w:color w:val="auto"/>
        </w:rPr>
      </w:pPr>
    </w:p>
    <w:tbl>
      <w:tblPr>
        <w:tblLayout w:type="fixed"/>
        <w:tblInd w:w="558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 Coric</w:t>
            </w:r>
          </w:p>
        </w:tc>
      </w:tr>
      <w:tr>
        <w:trPr>
          <w:trHeight w:val="170"/>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 Coric</w:t>
            </w:r>
          </w:p>
        </w:tc>
      </w:tr>
      <w:tr>
        <w:trPr>
          <w:trHeight w:val="185"/>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4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Each of the undersigned officers and directors of Biohaven Ltd. hereby severally constitute and appoint each of Vlad Coric, Matthew Buten, George C. Clark and Warren Volles as the attorneys-in-fact for the undersigned, in any and all capacities, with full power of substitution, to sign any and all pre- or post-effective amendments to this Registration Statement, any subsequent Registration Statement for the same offering which may be filed pursuant to Rule 462(b) under the Securities Act of 1933, as amended, and any and all pre- or post-effective amendments thereto, and to file the same with exhibits thereto and other documents in connection therewith, with the Securities and Exchange Commission, granting unto said attorneys-in-fact full power and authority to do and perform each and every act and thing requisite and necessary to be done in and about the premises, as fully to all intents and purposes as he might or could do in person, hereby ratifying and confirming all that said attorneys-in-fact may lawfully do or cause to be done by virtue hereof.</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94"/>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/s/ Vlad Coric</w:t>
            </w:r>
          </w:p>
        </w:tc>
        <w:tc>
          <w:tcPr>
            <w:tcW w:w="80" w:type="dxa"/>
            <w:vAlign w:val="bottom"/>
          </w:tcPr>
          <w:p>
            <w:pPr>
              <w:spacing w:after="0"/>
              <w:rPr>
                <w:sz w:val="16"/>
                <w:szCs w:val="16"/>
                <w:color w:val="auto"/>
              </w:rPr>
            </w:pPr>
          </w:p>
        </w:tc>
        <w:tc>
          <w:tcPr>
            <w:tcW w:w="44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Chief Executive Officer and 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4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Vlad Coric</w:t>
            </w:r>
          </w:p>
        </w:tc>
        <w:tc>
          <w:tcPr>
            <w:tcW w:w="80" w:type="dxa"/>
            <w:vAlign w:val="bottom"/>
          </w:tcPr>
          <w:p>
            <w:pPr>
              <w:spacing w:after="0"/>
              <w:rPr>
                <w:sz w:val="3"/>
                <w:szCs w:val="3"/>
                <w:color w:val="auto"/>
              </w:rPr>
            </w:pPr>
          </w:p>
        </w:tc>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(Principal Executive Officer)</w:t>
            </w: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8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/s/ Matthew Buten</w:t>
            </w:r>
          </w:p>
        </w:tc>
        <w:tc>
          <w:tcPr>
            <w:tcW w:w="80" w:type="dxa"/>
            <w:vAlign w:val="bottom"/>
          </w:tcPr>
          <w:p>
            <w:pPr>
              <w:spacing w:after="0"/>
              <w:rPr>
                <w:sz w:val="18"/>
                <w:szCs w:val="18"/>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Chief Financial Officer and Treasurer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4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Matthew Buten</w:t>
            </w:r>
          </w:p>
        </w:tc>
        <w:tc>
          <w:tcPr>
            <w:tcW w:w="80" w:type="dxa"/>
            <w:vAlign w:val="bottom"/>
          </w:tcPr>
          <w:p>
            <w:pPr>
              <w:spacing w:after="0"/>
              <w:rPr>
                <w:sz w:val="3"/>
                <w:szCs w:val="3"/>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(Principal Financial Officer)</w:t>
            </w: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8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/s/ George C. Clark</w:t>
            </w:r>
          </w:p>
        </w:tc>
        <w:tc>
          <w:tcPr>
            <w:tcW w:w="80" w:type="dxa"/>
            <w:vAlign w:val="bottom"/>
          </w:tcPr>
          <w:p>
            <w:pPr>
              <w:spacing w:after="0"/>
              <w:rPr>
                <w:sz w:val="18"/>
                <w:szCs w:val="18"/>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Chief Accounting Officer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4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George C. Clark</w:t>
            </w:r>
          </w:p>
        </w:tc>
        <w:tc>
          <w:tcPr>
            <w:tcW w:w="80" w:type="dxa"/>
            <w:vAlign w:val="bottom"/>
          </w:tcPr>
          <w:p>
            <w:pPr>
              <w:spacing w:after="0"/>
              <w:rPr>
                <w:sz w:val="3"/>
                <w:szCs w:val="3"/>
                <w:color w:val="auto"/>
              </w:rPr>
            </w:pPr>
          </w:p>
        </w:tc>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rPr>
              <w:t>(Principal Accounting Officer)</w:t>
            </w:r>
          </w:p>
        </w:tc>
        <w:tc>
          <w:tcPr>
            <w:tcW w:w="2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80" w:type="dxa"/>
            <w:vAlign w:val="bottom"/>
            <w:gridSpan w:val="2"/>
            <w:vMerge w:val="continue"/>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Irina A. Antonijevic</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Irina A. Antonijevic</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Gregory H. Bailey</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Gregory H. Bailey</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John W. Childs</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John W. Childs</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Julia P. Gregory</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Julia P. Gregory</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Robert J. Hugin</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Robert J. Hugin</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Michael T. Heffernan</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Michael T. Heffernan</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43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 Kishan Mehta</w:t>
            </w:r>
          </w:p>
        </w:tc>
        <w:tc>
          <w:tcPr>
            <w:tcW w:w="80" w:type="dxa"/>
            <w:vAlign w:val="bottom"/>
          </w:tcPr>
          <w:p>
            <w:pPr>
              <w:spacing w:after="0"/>
              <w:rPr>
                <w:sz w:val="17"/>
                <w:szCs w:val="17"/>
                <w:color w:val="auto"/>
              </w:rPr>
            </w:pPr>
          </w:p>
        </w:tc>
        <w:tc>
          <w:tcPr>
            <w:tcW w:w="4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color w:val="auto"/>
              </w:rPr>
              <w:t>Director</w:t>
            </w:r>
          </w:p>
        </w:tc>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May 4, 2026</w:t>
            </w:r>
          </w:p>
        </w:tc>
        <w:tc>
          <w:tcPr>
            <w:tcW w:w="0" w:type="dxa"/>
            <w:vAlign w:val="bottom"/>
          </w:tcPr>
          <w:p>
            <w:pPr>
              <w:spacing w:after="0"/>
              <w:rPr>
                <w:sz w:val="1"/>
                <w:szCs w:val="1"/>
                <w:color w:val="auto"/>
              </w:rPr>
            </w:pPr>
          </w:p>
        </w:tc>
      </w:tr>
      <w:tr>
        <w:trPr>
          <w:trHeight w:val="30"/>
        </w:trPr>
        <w:tc>
          <w:tcPr>
            <w:tcW w:w="4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4480" w:type="dxa"/>
            <w:vAlign w:val="bottom"/>
            <w:gridSpan w:val="2"/>
            <w:vMerge w:val="continue"/>
          </w:tcPr>
          <w:p>
            <w:pPr>
              <w:spacing w:after="0"/>
              <w:rPr>
                <w:sz w:val="2"/>
                <w:szCs w:val="2"/>
                <w:color w:val="auto"/>
              </w:rPr>
            </w:pPr>
          </w:p>
        </w:tc>
        <w:tc>
          <w:tcPr>
            <w:tcW w:w="2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
        </w:trPr>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Kishan Mehta</w:t>
            </w:r>
          </w:p>
        </w:tc>
        <w:tc>
          <w:tcPr>
            <w:tcW w:w="80" w:type="dxa"/>
            <w:vAlign w:val="bottom"/>
            <w:vMerge w:val="continue"/>
          </w:tcPr>
          <w:p>
            <w:pPr>
              <w:spacing w:after="0"/>
              <w:rPr>
                <w:sz w:val="3"/>
                <w:szCs w:val="3"/>
                <w:color w:val="auto"/>
              </w:rPr>
            </w:pPr>
          </w:p>
        </w:tc>
        <w:tc>
          <w:tcPr>
            <w:tcW w:w="4480" w:type="dxa"/>
            <w:vAlign w:val="bottom"/>
            <w:gridSpan w:val="2"/>
            <w:vMerge w:val="continue"/>
          </w:tcPr>
          <w:p>
            <w:pPr>
              <w:spacing w:after="0"/>
              <w:rPr>
                <w:sz w:val="3"/>
                <w:szCs w:val="3"/>
                <w:color w:val="auto"/>
              </w:rPr>
            </w:pPr>
          </w:p>
        </w:tc>
        <w:tc>
          <w:tcPr>
            <w:tcW w:w="2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43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279"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b w:val="1"/>
          <w:bCs w:val="1"/>
          <w:color w:val="auto"/>
        </w:rPr>
        <w:t>AUTHORIZED REPRESENTATIVE</w:t>
      </w:r>
    </w:p>
    <w:p>
      <w:pPr>
        <w:spacing w:after="0" w:line="141"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4"/>
          <w:szCs w:val="14"/>
          <w:color w:val="auto"/>
        </w:rPr>
        <w:t>Pursuant to the United States Securities Act of 1933, as amended, the Authorized Representative has signed this Registration Statement solely in its capacity as the duly authorized representative of Biohaven Ltd. in the United States, in the New Haven, Connecticut on May 4, 2026.</w:t>
      </w:r>
    </w:p>
    <w:p>
      <w:pPr>
        <w:spacing w:after="0" w:line="1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BIOHAVEN LTD.</w:t>
      </w:r>
    </w:p>
    <w:p>
      <w:pPr>
        <w:spacing w:after="0" w:line="237" w:lineRule="exact"/>
        <w:rPr>
          <w:sz w:val="20"/>
          <w:szCs w:val="20"/>
          <w:color w:val="auto"/>
        </w:rPr>
      </w:pPr>
    </w:p>
    <w:tbl>
      <w:tblPr>
        <w:tblLayout w:type="fixed"/>
        <w:tblInd w:w="5640" w:type="dxa"/>
        <w:tblCellMar>
          <w:top w:w="0" w:type="dxa"/>
          <w:left w:w="0" w:type="dxa"/>
          <w:bottom w:w="0" w:type="dxa"/>
          <w:right w:w="0" w:type="dxa"/>
        </w:tblCellMar>
      </w:tblPr>
      <w:tr>
        <w:trPr>
          <w:trHeight w:val="18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Vlad Coric</w:t>
            </w:r>
          </w:p>
        </w:tc>
      </w:tr>
      <w:tr>
        <w:trPr>
          <w:trHeight w:val="170"/>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Vlad Coric</w:t>
            </w:r>
          </w:p>
        </w:tc>
      </w:tr>
      <w:tr>
        <w:trPr>
          <w:trHeight w:val="18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Authorized Representative in the United States</w:t>
            </w:r>
          </w:p>
        </w:tc>
      </w:tr>
      <w:tr>
        <w:trPr>
          <w:trHeight w:val="185"/>
        </w:trPr>
        <w:tc>
          <w:tcPr>
            <w:tcW w:w="760" w:type="dxa"/>
            <w:vAlign w:val="bottom"/>
          </w:tcPr>
          <w:p>
            <w:pPr>
              <w:spacing w:after="0"/>
              <w:rPr>
                <w:sz w:val="16"/>
                <w:szCs w:val="16"/>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Biohaven Pharmaceuticals, Inc.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1280"/>
          </w:cols>
          <w:pgMar w:left="300" w:top="1279" w:right="319" w:bottom="1440" w:gutter="0" w:footer="0" w:header="0"/>
        </w:sectPr>
      </w:pPr>
    </w:p>
    <w:bookmarkStart w:id="50" w:name="page51"/>
    <w:bookmarkEnd w:id="50"/>
    <w:p>
      <w:pPr>
        <w:ind w:left="3460"/>
        <w:spacing w:after="0"/>
        <w:rPr>
          <w:sz w:val="20"/>
          <w:szCs w:val="20"/>
          <w:color w:val="auto"/>
        </w:rPr>
      </w:pPr>
      <w:r>
        <w:rPr>
          <w:rFonts w:ascii="Arial" w:cs="Arial" w:eastAsia="Arial" w:hAnsi="Arial"/>
          <w:sz w:val="29"/>
          <w:szCs w:val="29"/>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9"/>
          <w:szCs w:val="29"/>
          <w:b w:val="1"/>
          <w:bCs w:val="1"/>
          <w:color w:val="auto"/>
        </w:rPr>
        <w:t>S-3</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Biohaven Ltd.</w:t>
      </w:r>
    </w:p>
    <w:p>
      <w:pPr>
        <w:spacing w:after="0" w:line="95"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20" w:type="dxa"/>
            <w:vAlign w:val="bottom"/>
            <w:shd w:val="clear" w:color="auto" w:fill="9ADAF6"/>
          </w:tcPr>
          <w:p>
            <w:pPr>
              <w:jc w:val="right"/>
              <w:ind w:right="54"/>
              <w:spacing w:after="0" w:line="193"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14"/>
              <w:spacing w:after="0" w:line="193"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2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40" w:type="dxa"/>
            <w:vAlign w:val="bottom"/>
            <w:shd w:val="clear" w:color="auto" w:fill="9ADAF6"/>
          </w:tcPr>
          <w:p>
            <w:pPr>
              <w:jc w:val="right"/>
              <w:spacing w:after="0" w:line="193"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8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jc w:val="right"/>
              <w:ind w:right="294"/>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7"/>
          </w:tcPr>
          <w:p>
            <w:pPr>
              <w:jc w:val="right"/>
              <w:ind w:right="12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3"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3"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Shares,</w:t>
            </w: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line="193"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spacing w:after="0" w:line="193"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no par</w:t>
            </w:r>
          </w:p>
        </w:tc>
        <w:tc>
          <w:tcPr>
            <w:tcW w:w="20" w:type="dxa"/>
            <w:vAlign w:val="bottom"/>
          </w:tcPr>
          <w:p>
            <w:pPr>
              <w:spacing w:after="0"/>
              <w:rPr>
                <w:sz w:val="8"/>
                <w:szCs w:val="8"/>
                <w:color w:val="auto"/>
              </w:rPr>
            </w:pPr>
          </w:p>
        </w:tc>
        <w:tc>
          <w:tcPr>
            <w:tcW w:w="96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457(r)</w:t>
            </w: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center"/>
              <w:spacing w:after="0" w:line="193" w:lineRule="exact"/>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8"/>
                <w:szCs w:val="8"/>
                <w:color w:val="auto"/>
              </w:rPr>
            </w:pPr>
          </w:p>
        </w:tc>
        <w:tc>
          <w:tcPr>
            <w:tcW w:w="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line="193"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1"/>
                <w:szCs w:val="11"/>
                <w:color w:val="auto"/>
              </w:rPr>
            </w:pPr>
          </w:p>
        </w:tc>
        <w:tc>
          <w:tcPr>
            <w:tcW w:w="9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40" w:type="dxa"/>
            <w:vAlign w:val="bottom"/>
            <w:tcBorders>
              <w:left w:val="single" w:sz="8" w:color="auto"/>
            </w:tcBorders>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w w:val="98"/>
              </w:rPr>
              <w:t>Depositary</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Shares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Rights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7</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shd w:val="clear" w:color="auto" w:fill="E7E7E2"/>
          </w:tcPr>
          <w:p>
            <w:pPr>
              <w:ind w:left="20"/>
              <w:spacing w:after="0" w:line="182" w:lineRule="exact"/>
              <w:rPr>
                <w:sz w:val="20"/>
                <w:szCs w:val="20"/>
                <w:color w:val="auto"/>
              </w:rPr>
            </w:pPr>
            <w:r>
              <w:rPr>
                <w:rFonts w:ascii="Arial" w:cs="Arial" w:eastAsia="Arial" w:hAnsi="Arial"/>
                <w:sz w:val="17"/>
                <w:szCs w:val="17"/>
                <w:color w:val="auto"/>
              </w:rPr>
              <w:t>Purchase</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Contracts</w:t>
            </w: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5"/>
                <w:szCs w:val="15"/>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8</w:t>
            </w:r>
          </w:p>
        </w:tc>
        <w:tc>
          <w:tcPr>
            <w:tcW w:w="20" w:type="dxa"/>
            <w:vAlign w:val="bottom"/>
          </w:tcPr>
          <w:p>
            <w:pPr>
              <w:spacing w:after="0"/>
              <w:rPr>
                <w:sz w:val="15"/>
                <w:szCs w:val="15"/>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0.0001381</w:t>
            </w: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Borders>
              <w:left w:val="single" w:sz="8" w:color="auto"/>
            </w:tcBorders>
          </w:tcPr>
          <w:p>
            <w:pPr>
              <w:spacing w:after="0"/>
              <w:rPr>
                <w:sz w:val="11"/>
                <w:szCs w:val="11"/>
                <w:color w:val="auto"/>
              </w:rPr>
            </w:pPr>
          </w:p>
        </w:tc>
        <w:tc>
          <w:tcPr>
            <w:tcW w:w="8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1"/>
                <w:szCs w:val="11"/>
                <w:color w:val="auto"/>
              </w:rPr>
            </w:pPr>
          </w:p>
        </w:tc>
        <w:tc>
          <w:tcPr>
            <w:tcW w:w="1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2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20" w:type="dxa"/>
            <w:vAlign w:val="bottom"/>
            <w:gridSpan w:val="7"/>
          </w:tcPr>
          <w:p>
            <w:pPr>
              <w:jc w:val="right"/>
              <w:ind w:right="135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8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Borders>
              <w:lef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6" w:lineRule="exact"/>
        <w:rPr>
          <w:sz w:val="20"/>
          <w:szCs w:val="20"/>
          <w:color w:val="auto"/>
        </w:rPr>
      </w:pPr>
    </w:p>
    <w:p>
      <w:pPr>
        <w:ind w:left="220" w:right="580"/>
        <w:spacing w:after="0" w:line="243" w:lineRule="auto"/>
        <w:rPr>
          <w:sz w:val="20"/>
          <w:szCs w:val="20"/>
          <w:color w:val="auto"/>
        </w:rPr>
      </w:pPr>
      <w:r>
        <w:rPr>
          <w:rFonts w:ascii="Arial" w:cs="Arial" w:eastAsia="Arial" w:hAnsi="Arial"/>
          <w:sz w:val="17"/>
          <w:szCs w:val="17"/>
          <w:color w:val="auto"/>
        </w:rPr>
        <w:t>(Note 1a) In accordance with Rule 456(b) and Rule 457(r), the Registrant is deferring payment of all of the registration fees and will pay any applicable registration fees on a "pay as you go" basis. The Registrant will calculate the registration fee applicable to an offer of securities hereunder based on the fee payment rate in effect on the date of such fee payment.</w:t>
      </w:r>
    </w:p>
    <w:p>
      <w:pPr>
        <w:spacing w:after="0" w:line="1" w:lineRule="exact"/>
        <w:rPr>
          <w:sz w:val="20"/>
          <w:szCs w:val="20"/>
          <w:color w:val="auto"/>
        </w:rPr>
      </w:pPr>
    </w:p>
    <w:p>
      <w:pPr>
        <w:ind w:left="220" w:right="140"/>
        <w:spacing w:after="0" w:line="242" w:lineRule="auto"/>
        <w:rPr>
          <w:sz w:val="20"/>
          <w:szCs w:val="20"/>
          <w:color w:val="auto"/>
        </w:rPr>
      </w:pPr>
      <w:r>
        <w:rPr>
          <w:rFonts w:ascii="Arial" w:cs="Arial" w:eastAsia="Arial" w:hAnsi="Arial"/>
          <w:sz w:val="17"/>
          <w:szCs w:val="17"/>
          <w:color w:val="auto"/>
        </w:rPr>
        <w:t>(Note 1b) There is being registered hereunder such indeterminate number or amount of common shares, preferred shares, depositary shares, debt securities, warrants, rights, purchase contracts and units of the Registrant as may from time to time be issued at indeterminate prices and as may be issued upon conversion, redemption, exchange, exercise or settlement of any securities registered hereunder, including under any applicable antidilution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60960</wp:posOffset>
            </wp:positionV>
            <wp:extent cx="714502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36"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ectPr>
          <w:pgSz w:w="11900" w:h="16838" w:orient="portrait"/>
          <w:cols w:equalWidth="0" w:num="1">
            <w:col w:w="11360"/>
          </w:cols>
          <w:pgMar w:left="300" w:top="142" w:right="239" w:bottom="0" w:gutter="0" w:footer="0" w:header="0"/>
        </w:sectPr>
      </w:pP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45020" cy="15240"/>
                    </a:xfrm>
                    <a:prstGeom prst="rect">
                      <a:avLst/>
                    </a:prstGeom>
                    <a:noFill/>
                  </pic:spPr>
                </pic:pic>
              </a:graphicData>
            </a:graphic>
          </wp:anchor>
        </w:drawing>
      </w:r>
    </w:p>
    <w:p>
      <w:pPr>
        <w:sectPr>
          <w:pgSz w:w="11900" w:h="16838" w:orient="portrait"/>
          <w:cols w:equalWidth="0" w:num="1">
            <w:col w:w="11360"/>
          </w:cols>
          <w:pgMar w:left="300" w:top="142" w:right="239" w:bottom="0" w:gutter="0" w:footer="0" w:header="0"/>
          <w:type w:val="continuous"/>
        </w:sectPr>
      </w:pPr>
    </w:p>
    <w:bookmarkStart w:id="51" w:name="page52"/>
    <w:bookmarkEnd w:id="51"/>
    <w:p>
      <w:pPr>
        <w:ind w:left="40"/>
        <w:spacing w:after="0"/>
        <w:rPr>
          <w:sz w:val="20"/>
          <w:szCs w:val="20"/>
          <w:color w:val="auto"/>
        </w:rPr>
      </w:pPr>
      <w:r>
        <w:rPr>
          <w:rFonts w:ascii="Arial" w:cs="Arial" w:eastAsia="Arial" w:hAnsi="Arial"/>
          <w:sz w:val="11"/>
          <w:szCs w:val="11"/>
          <w:color w:val="auto"/>
        </w:rPr>
        <w:t>6</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7</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50" w:lineRule="exact"/>
        <w:rPr>
          <w:sz w:val="20"/>
          <w:szCs w:val="20"/>
          <w:color w:val="auto"/>
        </w:rPr>
      </w:pPr>
    </w:p>
    <w:p>
      <w:pPr>
        <w:ind w:left="40"/>
        <w:spacing w:after="0"/>
        <w:rPr>
          <w:sz w:val="20"/>
          <w:szCs w:val="20"/>
          <w:color w:val="auto"/>
        </w:rPr>
      </w:pPr>
      <w:r>
        <w:rPr>
          <w:rFonts w:ascii="Arial" w:cs="Arial" w:eastAsia="Arial" w:hAnsi="Arial"/>
          <w:sz w:val="11"/>
          <w:szCs w:val="11"/>
          <w:color w:val="auto"/>
        </w:rPr>
        <w:t>8</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1a)</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(Note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70485</wp:posOffset>
            </wp:positionV>
            <wp:extent cx="714502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45020" cy="3873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1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8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9ADAF6"/>
            </w:tcBorders>
            <w:gridSpan w:val="3"/>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right w:val="single" w:sz="8" w:color="9ADAF6"/>
            </w:tcBorders>
            <w:gridSpan w:val="3"/>
            <w:shd w:val="clear" w:color="auto" w:fill="9ADAF6"/>
          </w:tcPr>
          <w:p>
            <w:pPr>
              <w:jc w:val="center"/>
              <w:spacing w:after="0" w:line="172"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3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ind w:right="20"/>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6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1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3"/>
          </w:tcPr>
          <w:p>
            <w:pPr>
              <w:jc w:val="center"/>
              <w:ind w:right="19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40" w:type="dxa"/>
            <w:vAlign w:val="bottom"/>
            <w:gridSpan w:val="7"/>
          </w:tcPr>
          <w:p>
            <w:pPr>
              <w:jc w:val="center"/>
              <w:ind w:right="30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4"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6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1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6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1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6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1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right w:val="single" w:sz="8" w:color="9ADAF6"/>
            </w:tcBorders>
            <w:shd w:val="clear" w:color="auto" w:fill="9ADAF6"/>
          </w:tcPr>
          <w:p>
            <w:pPr>
              <w:spacing w:after="0"/>
              <w:rPr>
                <w:sz w:val="17"/>
                <w:szCs w:val="17"/>
                <w:color w:val="auto"/>
              </w:rPr>
            </w:pPr>
          </w:p>
        </w:tc>
        <w:tc>
          <w:tcPr>
            <w:tcW w:w="118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6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100" w:type="dxa"/>
            <w:vAlign w:val="bottom"/>
            <w:tcBorders>
              <w:right w:val="single" w:sz="8" w:color="9ADAF6"/>
            </w:tcBorders>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78"/>
              <w:spacing w:after="0" w:line="193" w:lineRule="exact"/>
              <w:rPr>
                <w:sz w:val="20"/>
                <w:szCs w:val="20"/>
                <w:color w:val="auto"/>
              </w:rPr>
            </w:pPr>
            <w:r>
              <w:rPr>
                <w:rFonts w:ascii="Arial" w:cs="Arial" w:eastAsia="Arial" w:hAnsi="Arial"/>
                <w:sz w:val="17"/>
                <w:szCs w:val="17"/>
                <w:b w:val="1"/>
                <w:bCs w:val="1"/>
                <w:color w:val="auto"/>
              </w:rPr>
              <w:t>Offering Price of</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restart"/>
            <w:shd w:val="clear" w:color="auto" w:fill="9ADAF6"/>
          </w:tcPr>
          <w:p>
            <w:pPr>
              <w:jc w:val="center"/>
              <w:ind w:right="58"/>
              <w:spacing w:after="0" w:line="193" w:lineRule="exact"/>
              <w:rPr>
                <w:sz w:val="20"/>
                <w:szCs w:val="20"/>
                <w:color w:val="auto"/>
              </w:rPr>
            </w:pPr>
            <w:r>
              <w:rPr>
                <w:rFonts w:ascii="Arial" w:cs="Arial" w:eastAsia="Arial" w:hAnsi="Arial"/>
                <w:sz w:val="17"/>
                <w:szCs w:val="17"/>
                <w:b w:val="1"/>
                <w:bCs w:val="1"/>
                <w:color w:val="auto"/>
                <w:w w:val="98"/>
              </w:rPr>
              <w:t>Securities Previously</w:t>
            </w: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9ADAF6"/>
            </w:tcBorders>
            <w:shd w:val="clear" w:color="auto" w:fill="9ADAF6"/>
          </w:tcPr>
          <w:p>
            <w:pPr>
              <w:spacing w:after="0"/>
              <w:rPr>
                <w:sz w:val="8"/>
                <w:szCs w:val="8"/>
                <w:color w:val="auto"/>
              </w:rPr>
            </w:pPr>
          </w:p>
        </w:tc>
        <w:tc>
          <w:tcPr>
            <w:tcW w:w="118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continue"/>
            <w:shd w:val="clear" w:color="auto" w:fill="9ADAF6"/>
          </w:tcPr>
          <w:p>
            <w:pPr>
              <w:spacing w:after="0"/>
              <w:rPr>
                <w:sz w:val="8"/>
                <w:szCs w:val="8"/>
                <w:color w:val="auto"/>
              </w:rPr>
            </w:pPr>
          </w:p>
        </w:tc>
        <w:tc>
          <w:tcPr>
            <w:tcW w:w="10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right w:val="single" w:sz="8" w:color="9ADAF6"/>
            </w:tcBorders>
            <w:shd w:val="clear" w:color="auto" w:fill="9ADAF6"/>
          </w:tcPr>
          <w:p>
            <w:pPr>
              <w:spacing w:after="0"/>
              <w:rPr>
                <w:sz w:val="12"/>
                <w:szCs w:val="12"/>
                <w:color w:val="auto"/>
              </w:rPr>
            </w:pPr>
          </w:p>
        </w:tc>
        <w:tc>
          <w:tcPr>
            <w:tcW w:w="118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6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8"/>
              <w:spacing w:after="0"/>
              <w:rPr>
                <w:sz w:val="20"/>
                <w:szCs w:val="20"/>
                <w:color w:val="auto"/>
              </w:rPr>
            </w:pPr>
            <w:r>
              <w:rPr>
                <w:rFonts w:ascii="Arial" w:cs="Arial" w:eastAsia="Arial" w:hAnsi="Arial"/>
                <w:sz w:val="17"/>
                <w:szCs w:val="17"/>
                <w:b w:val="1"/>
                <w:bCs w:val="1"/>
                <w:color w:val="auto"/>
              </w:rPr>
              <w:t>Registered</w:t>
            </w:r>
          </w:p>
        </w:tc>
        <w:tc>
          <w:tcPr>
            <w:tcW w:w="100" w:type="dxa"/>
            <w:vAlign w:val="bottom"/>
            <w:tcBorders>
              <w:right w:val="single" w:sz="8" w:color="9ADAF6"/>
            </w:tcBorders>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right w:val="single" w:sz="8" w:color="9ADAF6"/>
            </w:tcBorders>
            <w:shd w:val="clear" w:color="auto" w:fill="9ADAF6"/>
          </w:tcPr>
          <w:p>
            <w:pPr>
              <w:spacing w:after="0"/>
              <w:rPr>
                <w:sz w:val="7"/>
                <w:szCs w:val="7"/>
                <w:color w:val="auto"/>
              </w:rPr>
            </w:pPr>
          </w:p>
        </w:tc>
        <w:tc>
          <w:tcPr>
            <w:tcW w:w="118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10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40" w:type="dxa"/>
            <w:vAlign w:val="bottom"/>
            <w:tcBorders>
              <w:bottom w:val="single" w:sz="8" w:color="E7E7E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258"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561340</wp:posOffset>
            </wp:positionV>
            <wp:extent cx="802640" cy="870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802640" cy="87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Our ref: CHX/806931-000040/43297376v3</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15"/>
          <w:szCs w:val="15"/>
          <w:color w:val="auto"/>
        </w:rPr>
        <w:t>Biohaven Limited</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5"/>
          <w:szCs w:val="15"/>
          <w:color w:val="auto"/>
        </w:rPr>
        <w:t>Kingston Chambers</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5"/>
          <w:szCs w:val="15"/>
          <w:color w:val="auto"/>
        </w:rPr>
        <w:t>PO Box 173</w:t>
      </w:r>
    </w:p>
    <w:p>
      <w:pPr>
        <w:spacing w:after="0" w:line="8" w:lineRule="exact"/>
        <w:rPr>
          <w:sz w:val="20"/>
          <w:szCs w:val="20"/>
          <w:color w:val="auto"/>
        </w:rPr>
      </w:pPr>
    </w:p>
    <w:p>
      <w:pPr>
        <w:ind w:left="80"/>
        <w:spacing w:after="0"/>
        <w:rPr>
          <w:sz w:val="20"/>
          <w:szCs w:val="20"/>
          <w:color w:val="auto"/>
        </w:rPr>
      </w:pPr>
      <w:r>
        <w:rPr>
          <w:rFonts w:ascii="Arial" w:cs="Arial" w:eastAsia="Arial" w:hAnsi="Arial"/>
          <w:sz w:val="15"/>
          <w:szCs w:val="15"/>
          <w:color w:val="auto"/>
        </w:rPr>
        <w:t>Road Town</w:t>
      </w:r>
    </w:p>
    <w:p>
      <w:pPr>
        <w:ind w:left="80"/>
        <w:spacing w:after="0"/>
        <w:rPr>
          <w:sz w:val="20"/>
          <w:szCs w:val="20"/>
          <w:color w:val="auto"/>
        </w:rPr>
      </w:pPr>
      <w:r>
        <w:rPr>
          <w:rFonts w:ascii="Arial" w:cs="Arial" w:eastAsia="Arial" w:hAnsi="Arial"/>
          <w:sz w:val="15"/>
          <w:szCs w:val="15"/>
          <w:color w:val="auto"/>
        </w:rPr>
        <w:t>Tortola, VG1110</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5"/>
          <w:szCs w:val="15"/>
          <w:color w:val="auto"/>
        </w:rPr>
        <w:t>British Virgin Islands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4 May 2026</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Dear Sirs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Biohaven Limited (the "Company")</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acted as counsel as to British Virgin Islands law to the Company and have been asked to provide this legal opinion in connection with the Company's registration statement on Form S-3ASR, including all amendments or supplements thereto, filed with the United States Securities and Exchange Commission (the "</w:t>
      </w:r>
      <w:r>
        <w:rPr>
          <w:rFonts w:ascii="Arial" w:cs="Arial" w:eastAsia="Arial" w:hAnsi="Arial"/>
          <w:sz w:val="14"/>
          <w:szCs w:val="14"/>
          <w:b w:val="1"/>
          <w:bCs w:val="1"/>
          <w:color w:val="auto"/>
        </w:rPr>
        <w:t>Commission</w:t>
      </w:r>
      <w:r>
        <w:rPr>
          <w:rFonts w:ascii="Arial" w:cs="Arial" w:eastAsia="Arial" w:hAnsi="Arial"/>
          <w:sz w:val="14"/>
          <w:szCs w:val="14"/>
          <w:color w:val="auto"/>
        </w:rPr>
        <w:t>") under the United States Securities Act of 1933 (the "</w:t>
      </w:r>
      <w:r>
        <w:rPr>
          <w:rFonts w:ascii="Arial" w:cs="Arial" w:eastAsia="Arial" w:hAnsi="Arial"/>
          <w:sz w:val="14"/>
          <w:szCs w:val="14"/>
          <w:b w:val="1"/>
          <w:bCs w:val="1"/>
          <w:color w:val="auto"/>
        </w:rPr>
        <w:t>SEC Act</w:t>
      </w:r>
      <w:r>
        <w:rPr>
          <w:rFonts w:ascii="Arial" w:cs="Arial" w:eastAsia="Arial" w:hAnsi="Arial"/>
          <w:sz w:val="14"/>
          <w:szCs w:val="14"/>
          <w:color w:val="auto"/>
        </w:rPr>
        <w:t>"), as amended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which allows for the registration of offerings and sales or resales of an indeterminate amount of one or more of the following categories of securities by the Company: (i) common shares, no par value (the "</w:t>
      </w:r>
      <w:r>
        <w:rPr>
          <w:rFonts w:ascii="Arial" w:cs="Arial" w:eastAsia="Arial" w:hAnsi="Arial"/>
          <w:sz w:val="14"/>
          <w:szCs w:val="14"/>
          <w:b w:val="1"/>
          <w:bCs w:val="1"/>
          <w:color w:val="auto"/>
        </w:rPr>
        <w:t>Common Shares</w:t>
      </w:r>
      <w:r>
        <w:rPr>
          <w:rFonts w:ascii="Arial" w:cs="Arial" w:eastAsia="Arial" w:hAnsi="Arial"/>
          <w:sz w:val="14"/>
          <w:szCs w:val="14"/>
          <w:color w:val="auto"/>
        </w:rPr>
        <w:t>"),</w:t>
      </w:r>
    </w:p>
    <w:p>
      <w:pPr>
        <w:spacing w:after="0" w:line="2" w:lineRule="exact"/>
        <w:rPr>
          <w:sz w:val="20"/>
          <w:szCs w:val="20"/>
          <w:color w:val="auto"/>
        </w:rPr>
      </w:pPr>
    </w:p>
    <w:p>
      <w:pPr>
        <w:jc w:val="both"/>
        <w:ind w:firstLine="6"/>
        <w:spacing w:after="0" w:line="256" w:lineRule="auto"/>
        <w:tabs>
          <w:tab w:leader="none" w:pos="216"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preferred shares, no par value (the "</w:t>
      </w:r>
      <w:r>
        <w:rPr>
          <w:rFonts w:ascii="Arial" w:cs="Arial" w:eastAsia="Arial" w:hAnsi="Arial"/>
          <w:sz w:val="15"/>
          <w:szCs w:val="15"/>
          <w:b w:val="1"/>
          <w:bCs w:val="1"/>
          <w:color w:val="auto"/>
        </w:rPr>
        <w:t>Preferred Shares</w:t>
      </w:r>
      <w:r>
        <w:rPr>
          <w:rFonts w:ascii="Arial" w:cs="Arial" w:eastAsia="Arial" w:hAnsi="Arial"/>
          <w:sz w:val="15"/>
          <w:szCs w:val="15"/>
          <w:color w:val="auto"/>
        </w:rPr>
        <w:t>", together with the Common Shares, the "</w:t>
      </w:r>
      <w:r>
        <w:rPr>
          <w:rFonts w:ascii="Arial" w:cs="Arial" w:eastAsia="Arial" w:hAnsi="Arial"/>
          <w:sz w:val="15"/>
          <w:szCs w:val="15"/>
          <w:b w:val="1"/>
          <w:bCs w:val="1"/>
          <w:color w:val="auto"/>
        </w:rPr>
        <w:t>Shares</w:t>
      </w:r>
      <w:r>
        <w:rPr>
          <w:rFonts w:ascii="Arial" w:cs="Arial" w:eastAsia="Arial" w:hAnsi="Arial"/>
          <w:sz w:val="15"/>
          <w:szCs w:val="15"/>
          <w:color w:val="auto"/>
        </w:rPr>
        <w:t>"), (iii) depositary shares or depositary receipts representing Preferred Shares (the "</w:t>
      </w:r>
      <w:r>
        <w:rPr>
          <w:rFonts w:ascii="Arial" w:cs="Arial" w:eastAsia="Arial" w:hAnsi="Arial"/>
          <w:sz w:val="15"/>
          <w:szCs w:val="15"/>
          <w:b w:val="1"/>
          <w:bCs w:val="1"/>
          <w:color w:val="auto"/>
        </w:rPr>
        <w:t>Depositary Shares</w:t>
      </w:r>
      <w:r>
        <w:rPr>
          <w:rFonts w:ascii="Arial" w:cs="Arial" w:eastAsia="Arial" w:hAnsi="Arial"/>
          <w:sz w:val="15"/>
          <w:szCs w:val="15"/>
          <w:color w:val="auto"/>
        </w:rPr>
        <w:t>"), (iv) debt securities (the "</w:t>
      </w:r>
      <w:r>
        <w:rPr>
          <w:rFonts w:ascii="Arial" w:cs="Arial" w:eastAsia="Arial" w:hAnsi="Arial"/>
          <w:sz w:val="15"/>
          <w:szCs w:val="15"/>
          <w:b w:val="1"/>
          <w:bCs w:val="1"/>
          <w:color w:val="auto"/>
        </w:rPr>
        <w:t>Debt Securities</w:t>
      </w:r>
      <w:r>
        <w:rPr>
          <w:rFonts w:ascii="Arial" w:cs="Arial" w:eastAsia="Arial" w:hAnsi="Arial"/>
          <w:sz w:val="15"/>
          <w:szCs w:val="15"/>
          <w:color w:val="auto"/>
        </w:rPr>
        <w:t>"), (v) warrants (the "</w:t>
      </w:r>
      <w:r>
        <w:rPr>
          <w:rFonts w:ascii="Arial" w:cs="Arial" w:eastAsia="Arial" w:hAnsi="Arial"/>
          <w:sz w:val="15"/>
          <w:szCs w:val="15"/>
          <w:b w:val="1"/>
          <w:bCs w:val="1"/>
          <w:color w:val="auto"/>
        </w:rPr>
        <w:t>Warrants</w:t>
      </w:r>
      <w:r>
        <w:rPr>
          <w:rFonts w:ascii="Arial" w:cs="Arial" w:eastAsia="Arial" w:hAnsi="Arial"/>
          <w:sz w:val="15"/>
          <w:szCs w:val="15"/>
          <w:color w:val="auto"/>
        </w:rPr>
        <w:t>") to purchase Common Shares, Preferred Shares, Depositary Shares and / or Debt Securities, (vi) rights (the "</w:t>
      </w:r>
      <w:r>
        <w:rPr>
          <w:rFonts w:ascii="Arial" w:cs="Arial" w:eastAsia="Arial" w:hAnsi="Arial"/>
          <w:sz w:val="15"/>
          <w:szCs w:val="15"/>
          <w:b w:val="1"/>
          <w:bCs w:val="1"/>
          <w:color w:val="auto"/>
        </w:rPr>
        <w:t>Rights</w:t>
      </w:r>
      <w:r>
        <w:rPr>
          <w:rFonts w:ascii="Arial" w:cs="Arial" w:eastAsia="Arial" w:hAnsi="Arial"/>
          <w:sz w:val="15"/>
          <w:szCs w:val="15"/>
          <w:color w:val="auto"/>
        </w:rPr>
        <w:t>") to purchase Securities (as defined below) of the Company, (vii) purchase contracts (the "</w:t>
      </w:r>
      <w:r>
        <w:rPr>
          <w:rFonts w:ascii="Arial" w:cs="Arial" w:eastAsia="Arial" w:hAnsi="Arial"/>
          <w:sz w:val="15"/>
          <w:szCs w:val="15"/>
          <w:b w:val="1"/>
          <w:bCs w:val="1"/>
          <w:color w:val="auto"/>
        </w:rPr>
        <w:t>Purchase</w:t>
      </w:r>
      <w:r>
        <w:rPr>
          <w:rFonts w:ascii="Arial" w:cs="Arial" w:eastAsia="Arial" w:hAnsi="Arial"/>
          <w:sz w:val="15"/>
          <w:szCs w:val="15"/>
          <w:color w:val="auto"/>
        </w:rPr>
        <w:t xml:space="preserve"> </w:t>
      </w:r>
      <w:r>
        <w:rPr>
          <w:rFonts w:ascii="Arial" w:cs="Arial" w:eastAsia="Arial" w:hAnsi="Arial"/>
          <w:sz w:val="15"/>
          <w:szCs w:val="15"/>
          <w:b w:val="1"/>
          <w:bCs w:val="1"/>
          <w:color w:val="auto"/>
        </w:rPr>
        <w:t>Contracts</w:t>
      </w:r>
      <w:r>
        <w:rPr>
          <w:rFonts w:ascii="Arial" w:cs="Arial" w:eastAsia="Arial" w:hAnsi="Arial"/>
          <w:sz w:val="15"/>
          <w:szCs w:val="15"/>
          <w:color w:val="auto"/>
        </w:rPr>
        <w:t>") of the Company with respect to Securities of the Company or securities of an unaffiliated entity, and (viii) units (the "</w:t>
      </w:r>
      <w:r>
        <w:rPr>
          <w:rFonts w:ascii="Arial" w:cs="Arial" w:eastAsia="Arial" w:hAnsi="Arial"/>
          <w:sz w:val="15"/>
          <w:szCs w:val="15"/>
          <w:b w:val="1"/>
          <w:bCs w:val="1"/>
          <w:color w:val="auto"/>
        </w:rPr>
        <w:t>Units</w:t>
      </w:r>
      <w:r>
        <w:rPr>
          <w:rFonts w:ascii="Arial" w:cs="Arial" w:eastAsia="Arial" w:hAnsi="Arial"/>
          <w:sz w:val="15"/>
          <w:szCs w:val="15"/>
          <w:color w:val="auto"/>
        </w:rPr>
        <w:t>", and, together with the Common</w:t>
      </w:r>
      <w:r>
        <w:rPr>
          <w:rFonts w:ascii="Arial" w:cs="Arial" w:eastAsia="Arial" w:hAnsi="Arial"/>
          <w:sz w:val="15"/>
          <w:szCs w:val="15"/>
          <w:b w:val="1"/>
          <w:bCs w:val="1"/>
          <w:color w:val="auto"/>
        </w:rPr>
        <w:t xml:space="preserve"> </w:t>
      </w:r>
      <w:r>
        <w:rPr>
          <w:rFonts w:ascii="Arial" w:cs="Arial" w:eastAsia="Arial" w:hAnsi="Arial"/>
          <w:sz w:val="15"/>
          <w:szCs w:val="15"/>
          <w:color w:val="auto"/>
        </w:rPr>
        <w:t>Shares, the Preferred Shares, the Depositary Shares, the Debt Securities, the Warrants, the Rights and the Purchase Contracts, the “</w:t>
      </w:r>
      <w:r>
        <w:rPr>
          <w:rFonts w:ascii="Arial" w:cs="Arial" w:eastAsia="Arial" w:hAnsi="Arial"/>
          <w:sz w:val="15"/>
          <w:szCs w:val="15"/>
          <w:b w:val="1"/>
          <w:bCs w:val="1"/>
          <w:color w:val="auto"/>
        </w:rPr>
        <w:t>Securities</w:t>
      </w:r>
      <w:r>
        <w:rPr>
          <w:rFonts w:ascii="Arial" w:cs="Arial" w:eastAsia="Arial" w:hAnsi="Arial"/>
          <w:sz w:val="15"/>
          <w:szCs w:val="15"/>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This opinion letter is given in accordance with the terms of the Validity of Securities section of the Registration Statement.</w:t>
      </w:r>
    </w:p>
    <w:p>
      <w:pPr>
        <w:spacing w:after="0" w:line="173" w:lineRule="exact"/>
        <w:rPr>
          <w:sz w:val="20"/>
          <w:szCs w:val="20"/>
          <w:color w:val="auto"/>
        </w:rPr>
      </w:pPr>
    </w:p>
    <w:p>
      <w:pPr>
        <w:ind w:left="260" w:hanging="254"/>
        <w:spacing w:after="0"/>
        <w:tabs>
          <w:tab w:leader="none" w:pos="26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Reviewed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We have reviewed originals, copies, drafts or conformed copies of the following documents:</w:t>
      </w:r>
    </w:p>
    <w:p>
      <w:pPr>
        <w:spacing w:after="0" w:line="85"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1.1</w:t>
        <w:tab/>
        <w:t>The public records of the Company on file and available for public inspection at the Registry of Corporate Affairs in the British Virgin Islands (the "</w:t>
      </w:r>
      <w:r>
        <w:rPr>
          <w:rFonts w:ascii="Arial" w:cs="Arial" w:eastAsia="Arial" w:hAnsi="Arial"/>
          <w:sz w:val="15"/>
          <w:szCs w:val="15"/>
          <w:b w:val="1"/>
          <w:bCs w:val="1"/>
          <w:color w:val="auto"/>
        </w:rPr>
        <w:t>Registry of</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Corporate Affairs</w:t>
      </w:r>
      <w:r>
        <w:rPr>
          <w:rFonts w:ascii="Arial" w:cs="Arial" w:eastAsia="Arial" w:hAnsi="Arial"/>
          <w:sz w:val="15"/>
          <w:szCs w:val="15"/>
          <w:color w:val="auto"/>
        </w:rPr>
        <w:t>") 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432435</wp:posOffset>
            </wp:positionV>
            <wp:extent cx="4433570" cy="285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433570" cy="28575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ind w:left="520"/>
        <w:spacing w:after="0"/>
        <w:rPr>
          <w:sz w:val="20"/>
          <w:szCs w:val="20"/>
          <w:color w:val="auto"/>
        </w:rPr>
      </w:pPr>
      <w:r>
        <w:rPr>
          <w:rFonts w:ascii="Arial" w:cs="Arial" w:eastAsia="Arial" w:hAnsi="Arial"/>
          <w:sz w:val="15"/>
          <w:szCs w:val="15"/>
          <w:color w:val="auto"/>
        </w:rPr>
        <w:t>May 2026, including the Company's Certificate of Incorporation and its Memorandum and Articles of Association (the "</w:t>
      </w:r>
      <w:r>
        <w:rPr>
          <w:rFonts w:ascii="Arial" w:cs="Arial" w:eastAsia="Arial" w:hAnsi="Arial"/>
          <w:sz w:val="15"/>
          <w:szCs w:val="15"/>
          <w:b w:val="1"/>
          <w:bCs w:val="1"/>
          <w:color w:val="auto"/>
        </w:rPr>
        <w:t>Memorandum and Articles</w:t>
      </w:r>
      <w:r>
        <w:rPr>
          <w:rFonts w:ascii="Arial" w:cs="Arial" w:eastAsia="Arial" w:hAnsi="Arial"/>
          <w:sz w:val="15"/>
          <w:szCs w:val="15"/>
          <w:color w:val="auto"/>
        </w:rPr>
        <w:t>").</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1.2</w:t>
      </w:r>
      <w:r>
        <w:rPr>
          <w:sz w:val="20"/>
          <w:szCs w:val="20"/>
          <w:color w:val="auto"/>
        </w:rPr>
        <w:tab/>
      </w:r>
      <w:r>
        <w:rPr>
          <w:rFonts w:ascii="Arial" w:cs="Arial" w:eastAsia="Arial" w:hAnsi="Arial"/>
          <w:sz w:val="14"/>
          <w:szCs w:val="14"/>
          <w:color w:val="auto"/>
        </w:rPr>
        <w:t>A list of the Company's directors provided by the Registry of Corporate Affairs dated 1 May 2026 (the "</w:t>
      </w:r>
      <w:r>
        <w:rPr>
          <w:rFonts w:ascii="Arial" w:cs="Arial" w:eastAsia="Arial" w:hAnsi="Arial"/>
          <w:sz w:val="14"/>
          <w:szCs w:val="14"/>
          <w:b w:val="1"/>
          <w:bCs w:val="1"/>
          <w:color w:val="auto"/>
        </w:rPr>
        <w:t>Registry List of Directors</w:t>
      </w:r>
      <w:r>
        <w:rPr>
          <w:rFonts w:ascii="Arial" w:cs="Arial" w:eastAsia="Arial" w:hAnsi="Arial"/>
          <w:sz w:val="14"/>
          <w:szCs w:val="14"/>
          <w:color w:val="auto"/>
        </w:rPr>
        <w:t>").</w:t>
      </w:r>
    </w:p>
    <w:p>
      <w:pPr>
        <w:spacing w:after="0" w:line="181" w:lineRule="exact"/>
        <w:rPr>
          <w:sz w:val="20"/>
          <w:szCs w:val="20"/>
          <w:color w:val="auto"/>
        </w:rPr>
      </w:pPr>
    </w:p>
    <w:p>
      <w:pPr>
        <w:ind w:left="440" w:hanging="513"/>
        <w:spacing w:after="0" w:line="284" w:lineRule="auto"/>
        <w:tabs>
          <w:tab w:leader="none" w:pos="420" w:val="left"/>
        </w:tabs>
        <w:rPr>
          <w:sz w:val="20"/>
          <w:szCs w:val="20"/>
          <w:color w:val="auto"/>
        </w:rPr>
      </w:pPr>
      <w:r>
        <w:rPr>
          <w:rFonts w:ascii="Arial" w:cs="Arial" w:eastAsia="Arial" w:hAnsi="Arial"/>
          <w:sz w:val="15"/>
          <w:szCs w:val="15"/>
          <w:color w:val="auto"/>
        </w:rPr>
        <w:t>1.3</w:t>
        <w:tab/>
        <w:t>The records of proceedings available from a search of the electronic records maintained on the Judicial Enforcement Management System and the E-Litigation Portal from 1 January 2000 and available for inspection on 1 May 2026 at the British Virgin Islands High Court Registry (the "</w:t>
      </w:r>
      <w:r>
        <w:rPr>
          <w:rFonts w:ascii="Arial" w:cs="Arial" w:eastAsia="Arial" w:hAnsi="Arial"/>
          <w:sz w:val="15"/>
          <w:szCs w:val="15"/>
          <w:b w:val="1"/>
          <w:bCs w:val="1"/>
          <w:color w:val="auto"/>
        </w:rPr>
        <w:t>High Court Registry</w:t>
      </w:r>
      <w:r>
        <w:rPr>
          <w:rFonts w:ascii="Arial" w:cs="Arial" w:eastAsia="Arial" w:hAnsi="Arial"/>
          <w:sz w:val="15"/>
          <w:szCs w:val="15"/>
          <w:color w:val="auto"/>
        </w:rPr>
        <w:t>").</w:t>
      </w:r>
    </w:p>
    <w:p>
      <w:pPr>
        <w:spacing w:after="0" w:line="117"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1.4</w:t>
        <w:tab/>
        <w:t>The written resolutions of the board of directors of the Company dated 2 May 2026 (the "</w:t>
      </w:r>
      <w:r>
        <w:rPr>
          <w:rFonts w:ascii="Arial" w:cs="Arial" w:eastAsia="Arial" w:hAnsi="Arial"/>
          <w:sz w:val="15"/>
          <w:szCs w:val="15"/>
          <w:b w:val="1"/>
          <w:bCs w:val="1"/>
          <w:color w:val="auto"/>
        </w:rPr>
        <w:t>Resolutions</w:t>
      </w:r>
      <w:r>
        <w:rPr>
          <w:rFonts w:ascii="Arial" w:cs="Arial" w:eastAsia="Arial" w:hAnsi="Arial"/>
          <w:sz w:val="15"/>
          <w:szCs w:val="15"/>
          <w:color w:val="auto"/>
        </w:rPr>
        <w:t>").</w:t>
      </w:r>
    </w:p>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5"/>
          <w:szCs w:val="15"/>
          <w:color w:val="auto"/>
        </w:rPr>
        <w:t>1.5</w:t>
        <w:tab/>
        <w:t>A Certificate of Incumbency dated 1 May 2026, issued by Maples Corporate Services (BVI) Limited, the Company's registered agent (the "</w:t>
      </w:r>
      <w:r>
        <w:rPr>
          <w:rFonts w:ascii="Arial" w:cs="Arial" w:eastAsia="Arial" w:hAnsi="Arial"/>
          <w:sz w:val="15"/>
          <w:szCs w:val="15"/>
          <w:b w:val="1"/>
          <w:bCs w:val="1"/>
          <w:color w:val="auto"/>
        </w:rPr>
        <w:t>Registered Agent's</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Certificate</w:t>
      </w:r>
      <w:r>
        <w:rPr>
          <w:rFonts w:ascii="Arial" w:cs="Arial" w:eastAsia="Arial" w:hAnsi="Arial"/>
          <w:sz w:val="15"/>
          <w:szCs w:val="15"/>
          <w:color w:val="auto"/>
        </w:rPr>
        <w:t>").</w:t>
      </w:r>
    </w:p>
    <w:p>
      <w:pPr>
        <w:spacing w:after="0" w:line="167"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1.6</w:t>
      </w:r>
      <w:r>
        <w:rPr>
          <w:sz w:val="20"/>
          <w:szCs w:val="20"/>
          <w:color w:val="auto"/>
        </w:rPr>
        <w:tab/>
      </w:r>
      <w:r>
        <w:rPr>
          <w:rFonts w:ascii="Arial" w:cs="Arial" w:eastAsia="Arial" w:hAnsi="Arial"/>
          <w:sz w:val="14"/>
          <w:szCs w:val="14"/>
          <w:color w:val="auto"/>
        </w:rPr>
        <w:t>A certificate of good standing with respect to the Company issued by the Registrar of Corporate Affairs dated 1 May 2026 (the "</w:t>
      </w:r>
      <w:r>
        <w:rPr>
          <w:rFonts w:ascii="Arial" w:cs="Arial" w:eastAsia="Arial" w:hAnsi="Arial"/>
          <w:sz w:val="14"/>
          <w:szCs w:val="14"/>
          <w:b w:val="1"/>
          <w:bCs w:val="1"/>
          <w:color w:val="auto"/>
        </w:rPr>
        <w:t>Certificate of Good Standing</w:t>
      </w:r>
      <w:r>
        <w:rPr>
          <w:rFonts w:ascii="Arial" w:cs="Arial" w:eastAsia="Arial" w:hAnsi="Arial"/>
          <w:sz w:val="14"/>
          <w:szCs w:val="14"/>
          <w:color w:val="auto"/>
        </w:rPr>
        <w:t>").</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1.7</w:t>
      </w:r>
      <w:r>
        <w:rPr>
          <w:sz w:val="20"/>
          <w:szCs w:val="20"/>
          <w:color w:val="auto"/>
        </w:rPr>
        <w:tab/>
      </w:r>
      <w:r>
        <w:rPr>
          <w:rFonts w:ascii="Arial" w:cs="Arial" w:eastAsia="Arial" w:hAnsi="Arial"/>
          <w:sz w:val="14"/>
          <w:szCs w:val="14"/>
          <w:color w:val="auto"/>
        </w:rPr>
        <w:t>A certificate from a director of the Company (the "</w:t>
      </w:r>
      <w:r>
        <w:rPr>
          <w:rFonts w:ascii="Arial" w:cs="Arial" w:eastAsia="Arial" w:hAnsi="Arial"/>
          <w:sz w:val="14"/>
          <w:szCs w:val="14"/>
          <w:b w:val="1"/>
          <w:bCs w:val="1"/>
          <w:color w:val="auto"/>
        </w:rPr>
        <w:t>Director's Certificate</w:t>
      </w:r>
      <w:r>
        <w:rPr>
          <w:rFonts w:ascii="Arial" w:cs="Arial" w:eastAsia="Arial" w:hAnsi="Arial"/>
          <w:sz w:val="14"/>
          <w:szCs w:val="14"/>
          <w:color w:val="auto"/>
        </w:rPr>
        <w:t>").</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1.8</w:t>
      </w:r>
      <w:r>
        <w:rPr>
          <w:sz w:val="20"/>
          <w:szCs w:val="20"/>
          <w:color w:val="auto"/>
        </w:rPr>
        <w:tab/>
      </w:r>
      <w:r>
        <w:rPr>
          <w:rFonts w:ascii="Arial" w:cs="Arial" w:eastAsia="Arial" w:hAnsi="Arial"/>
          <w:sz w:val="14"/>
          <w:szCs w:val="14"/>
          <w:color w:val="auto"/>
        </w:rPr>
        <w:t>The Registration Statement.</w:t>
      </w:r>
    </w:p>
    <w:p>
      <w:pPr>
        <w:spacing w:after="0" w:line="173" w:lineRule="exact"/>
        <w:rPr>
          <w:sz w:val="20"/>
          <w:szCs w:val="20"/>
          <w:color w:val="auto"/>
        </w:rPr>
      </w:pPr>
    </w:p>
    <w:p>
      <w:pPr>
        <w:ind w:left="260" w:hanging="254"/>
        <w:spacing w:after="0"/>
        <w:tabs>
          <w:tab w:leader="none" w:pos="26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Assumptions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The following opinions are given only as to, and based on, circumstances and matters of fact existing and known to us on the date of this opinion letter. These opinions only relate to the laws of the British Virgin Islands which are in force on the date of this opinion letter. In giving the following opinions we have relied (without further verification) upon the completeness and accuracy, as at the date of this opinion letter, of the Registry List of Directors, the Registered Agent's Certificate, the Certificate of Good Standing and the Director's Certificate. We have also relied upon the following assumptions, which we have not independently verified:</w:t>
      </w:r>
    </w:p>
    <w:p>
      <w:pPr>
        <w:spacing w:after="0" w:line="141" w:lineRule="exact"/>
        <w:rPr>
          <w:sz w:val="20"/>
          <w:szCs w:val="20"/>
          <w:color w:val="auto"/>
        </w:rPr>
      </w:pPr>
    </w:p>
    <w:p>
      <w:pPr>
        <w:jc w:val="both"/>
        <w:ind w:left="400" w:hanging="513"/>
        <w:spacing w:after="0" w:line="263" w:lineRule="auto"/>
        <w:tabs>
          <w:tab w:leader="none" w:pos="380" w:val="left"/>
        </w:tabs>
        <w:rPr>
          <w:sz w:val="20"/>
          <w:szCs w:val="20"/>
          <w:color w:val="auto"/>
        </w:rPr>
      </w:pPr>
      <w:r>
        <w:rPr>
          <w:rFonts w:ascii="Arial" w:cs="Arial" w:eastAsia="Arial" w:hAnsi="Arial"/>
          <w:sz w:val="15"/>
          <w:szCs w:val="15"/>
          <w:color w:val="auto"/>
        </w:rPr>
        <w:t>2.1</w:t>
        <w:tab/>
        <w:t>The creation and issuance of the Preferred Shares has been, or will be, authorised and approved by the directors of the Company and, prior to the issuance of any such Preferred Shares, an appropriate amendment to, or restatement of the Memorandum and Articles to create the Preferred Shares (including all rights attaching thereto) has been registered by the Registrar of Corporate Affairs in the British Virgin Islands, for the avoidance of doubt, any such amendment to the Memorandum and Articles shall not affect the opinions set out below (the "</w:t>
      </w:r>
      <w:r>
        <w:rPr>
          <w:rFonts w:ascii="Arial" w:cs="Arial" w:eastAsia="Arial" w:hAnsi="Arial"/>
          <w:sz w:val="15"/>
          <w:szCs w:val="15"/>
          <w:b w:val="1"/>
          <w:bCs w:val="1"/>
          <w:color w:val="auto"/>
        </w:rPr>
        <w:t>Amended Memorandum and Articles</w:t>
      </w:r>
      <w:r>
        <w:rPr>
          <w:rFonts w:ascii="Arial" w:cs="Arial" w:eastAsia="Arial" w:hAnsi="Arial"/>
          <w:sz w:val="15"/>
          <w:szCs w:val="15"/>
          <w:color w:val="auto"/>
        </w:rPr>
        <w:t>").</w:t>
      </w:r>
    </w:p>
    <w:p>
      <w:pPr>
        <w:spacing w:after="0" w:line="133" w:lineRule="exact"/>
        <w:rPr>
          <w:sz w:val="20"/>
          <w:szCs w:val="20"/>
          <w:color w:val="auto"/>
        </w:rPr>
      </w:pPr>
    </w:p>
    <w:p>
      <w:pPr>
        <w:jc w:val="both"/>
        <w:ind w:left="420" w:hanging="513"/>
        <w:spacing w:after="0" w:line="259" w:lineRule="auto"/>
        <w:tabs>
          <w:tab w:leader="none" w:pos="400" w:val="left"/>
        </w:tabs>
        <w:rPr>
          <w:sz w:val="20"/>
          <w:szCs w:val="20"/>
          <w:color w:val="auto"/>
        </w:rPr>
      </w:pPr>
      <w:r>
        <w:rPr>
          <w:rFonts w:ascii="Arial" w:cs="Arial" w:eastAsia="Arial" w:hAnsi="Arial"/>
          <w:sz w:val="15"/>
          <w:szCs w:val="15"/>
          <w:color w:val="auto"/>
        </w:rPr>
        <w:t>2.2</w:t>
        <w:tab/>
        <w:t>The indenture to be entered into by the Company and any trustee pursuant to which the Debt Securities will be issued (the "</w:t>
      </w:r>
      <w:r>
        <w:rPr>
          <w:rFonts w:ascii="Arial" w:cs="Arial" w:eastAsia="Arial" w:hAnsi="Arial"/>
          <w:sz w:val="15"/>
          <w:szCs w:val="15"/>
          <w:b w:val="1"/>
          <w:bCs w:val="1"/>
          <w:color w:val="auto"/>
        </w:rPr>
        <w:t>Indenture</w:t>
      </w:r>
      <w:r>
        <w:rPr>
          <w:rFonts w:ascii="Arial" w:cs="Arial" w:eastAsia="Arial" w:hAnsi="Arial"/>
          <w:sz w:val="15"/>
          <w:szCs w:val="15"/>
          <w:color w:val="auto"/>
        </w:rPr>
        <w:t>"), the Debt Securities, the deposit agreements to be entered into between the Company and the financial institutions designated as depositaries thereunder pursuant to which the Depositary Shares will be issued (the "</w:t>
      </w:r>
      <w:r>
        <w:rPr>
          <w:rFonts w:ascii="Arial" w:cs="Arial" w:eastAsia="Arial" w:hAnsi="Arial"/>
          <w:sz w:val="15"/>
          <w:szCs w:val="15"/>
          <w:b w:val="1"/>
          <w:bCs w:val="1"/>
          <w:color w:val="auto"/>
        </w:rPr>
        <w:t>Deposit Agreements</w:t>
      </w:r>
      <w:r>
        <w:rPr>
          <w:rFonts w:ascii="Arial" w:cs="Arial" w:eastAsia="Arial" w:hAnsi="Arial"/>
          <w:sz w:val="15"/>
          <w:szCs w:val="15"/>
          <w:color w:val="auto"/>
        </w:rPr>
        <w:t xml:space="preserve"> "), the Depositary Shares, the Warrants, the warrant agreements to be entered into between the Company and the financial institutions designated as warrant agent thereunder pursuant to which the Warrants will be issued (the "</w:t>
      </w:r>
      <w:r>
        <w:rPr>
          <w:rFonts w:ascii="Arial" w:cs="Arial" w:eastAsia="Arial" w:hAnsi="Arial"/>
          <w:sz w:val="15"/>
          <w:szCs w:val="15"/>
          <w:b w:val="1"/>
          <w:bCs w:val="1"/>
          <w:color w:val="auto"/>
        </w:rPr>
        <w:t>Warrant Agreements</w:t>
      </w:r>
      <w:r>
        <w:rPr>
          <w:rFonts w:ascii="Arial" w:cs="Arial" w:eastAsia="Arial" w:hAnsi="Arial"/>
          <w:sz w:val="15"/>
          <w:szCs w:val="15"/>
          <w:color w:val="auto"/>
        </w:rPr>
        <w:t>"), the Rights, the rights agreements to be entered into by the Company and the financial institutions designated as rights agent thereunder pursuant to which the Rights will be issued (the "</w:t>
      </w:r>
      <w:r>
        <w:rPr>
          <w:rFonts w:ascii="Arial" w:cs="Arial" w:eastAsia="Arial" w:hAnsi="Arial"/>
          <w:sz w:val="15"/>
          <w:szCs w:val="15"/>
          <w:b w:val="1"/>
          <w:bCs w:val="1"/>
          <w:color w:val="auto"/>
        </w:rPr>
        <w:t>Rights Agreements</w:t>
      </w:r>
      <w:r>
        <w:rPr>
          <w:rFonts w:ascii="Arial" w:cs="Arial" w:eastAsia="Arial" w:hAnsi="Arial"/>
          <w:sz w:val="15"/>
          <w:szCs w:val="15"/>
          <w:color w:val="auto"/>
        </w:rPr>
        <w:t>"), the Purchase Contracts, the Units and the unit agreements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280"/>
          </w:cols>
          <w:pgMar w:left="300" w:top="1157" w:right="319" w:bottom="1440" w:gutter="0" w:footer="0" w:header="0"/>
        </w:sectPr>
      </w:pPr>
    </w:p>
    <w:bookmarkStart w:id="54" w:name="page55"/>
    <w:bookmarkEnd w:id="54"/>
    <w:p>
      <w:pPr>
        <w:jc w:val="both"/>
        <w:ind w:left="520"/>
        <w:spacing w:after="0" w:line="260" w:lineRule="auto"/>
        <w:rPr>
          <w:sz w:val="20"/>
          <w:szCs w:val="20"/>
          <w:color w:val="auto"/>
        </w:rPr>
      </w:pPr>
      <w:r>
        <w:rPr>
          <w:rFonts w:ascii="Arial" w:cs="Arial" w:eastAsia="Arial" w:hAnsi="Arial"/>
          <w:sz w:val="15"/>
          <w:szCs w:val="15"/>
          <w:color w:val="auto"/>
        </w:rPr>
        <w:t>be entered into by the Company pursuant to which the Units will be issued (the "</w:t>
      </w:r>
      <w:r>
        <w:rPr>
          <w:rFonts w:ascii="Arial" w:cs="Arial" w:eastAsia="Arial" w:hAnsi="Arial"/>
          <w:sz w:val="15"/>
          <w:szCs w:val="15"/>
          <w:b w:val="1"/>
          <w:bCs w:val="1"/>
          <w:color w:val="auto"/>
        </w:rPr>
        <w:t>Unit Agreements</w:t>
      </w:r>
      <w:r>
        <w:rPr>
          <w:rFonts w:ascii="Arial" w:cs="Arial" w:eastAsia="Arial" w:hAnsi="Arial"/>
          <w:sz w:val="15"/>
          <w:szCs w:val="15"/>
          <w:color w:val="auto"/>
        </w:rPr>
        <w:t>", together with the Indenture, the Deposit Agreements, the Warrant Agreements, the Rights Agreements, the Purchase Agreements, the Unit Agreements and any certificates evidencing the Warrants, the Rights or the Units, the "</w:t>
      </w:r>
      <w:r>
        <w:rPr>
          <w:rFonts w:ascii="Arial" w:cs="Arial" w:eastAsia="Arial" w:hAnsi="Arial"/>
          <w:sz w:val="15"/>
          <w:szCs w:val="15"/>
          <w:b w:val="1"/>
          <w:bCs w:val="1"/>
          <w:color w:val="auto"/>
        </w:rPr>
        <w:t>Agreements</w:t>
      </w:r>
      <w:r>
        <w:rPr>
          <w:rFonts w:ascii="Arial" w:cs="Arial" w:eastAsia="Arial" w:hAnsi="Arial"/>
          <w:sz w:val="15"/>
          <w:szCs w:val="15"/>
          <w:color w:val="auto"/>
        </w:rPr>
        <w:t>") have been, or will be, authorised and duly executed and unconditionally delivered by or on behalf of all relevant parties in accordance with all relevant laws.</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4"/>
          <w:szCs w:val="14"/>
          <w:color w:val="auto"/>
        </w:rPr>
        <w:t>The Securities (other than the Shares) and the Agreements are governed by the laws of the State of New York.</w:t>
      </w:r>
    </w:p>
    <w:p>
      <w:pPr>
        <w:spacing w:after="0" w:line="181" w:lineRule="exact"/>
        <w:rPr>
          <w:sz w:val="20"/>
          <w:szCs w:val="20"/>
          <w:color w:val="auto"/>
        </w:rPr>
      </w:pPr>
    </w:p>
    <w:p>
      <w:pPr>
        <w:jc w:val="both"/>
        <w:ind w:left="400" w:hanging="513"/>
        <w:spacing w:after="0" w:line="288" w:lineRule="auto"/>
        <w:tabs>
          <w:tab w:leader="none" w:pos="380" w:val="left"/>
        </w:tabs>
        <w:rPr>
          <w:sz w:val="20"/>
          <w:szCs w:val="20"/>
          <w:color w:val="auto"/>
        </w:rPr>
      </w:pPr>
      <w:r>
        <w:rPr>
          <w:rFonts w:ascii="Arial" w:cs="Arial" w:eastAsia="Arial" w:hAnsi="Arial"/>
          <w:sz w:val="15"/>
          <w:szCs w:val="15"/>
          <w:color w:val="auto"/>
        </w:rPr>
        <w:t>2.4</w:t>
        <w:tab/>
        <w:t>The Securities (other than the Shares) and the Agreements are, or will be, legal, valid, binding and enforceable against all relevant parties in accordance with their terms under the laws of the State of New York and all other relevant laws.</w:t>
      </w:r>
    </w:p>
    <w:p>
      <w:pPr>
        <w:spacing w:after="0" w:line="121" w:lineRule="exact"/>
        <w:rPr>
          <w:sz w:val="20"/>
          <w:szCs w:val="20"/>
          <w:color w:val="auto"/>
        </w:rPr>
      </w:pPr>
    </w:p>
    <w:p>
      <w:pPr>
        <w:jc w:val="both"/>
        <w:ind w:left="400" w:hanging="513"/>
        <w:spacing w:after="0" w:line="260" w:lineRule="auto"/>
        <w:tabs>
          <w:tab w:leader="none" w:pos="380" w:val="left"/>
        </w:tabs>
        <w:rPr>
          <w:sz w:val="20"/>
          <w:szCs w:val="20"/>
          <w:color w:val="auto"/>
        </w:rPr>
      </w:pPr>
      <w:r>
        <w:rPr>
          <w:rFonts w:ascii="Arial" w:cs="Arial" w:eastAsia="Arial" w:hAnsi="Arial"/>
          <w:sz w:val="15"/>
          <w:szCs w:val="15"/>
          <w:color w:val="auto"/>
        </w:rPr>
        <w:t>2.5</w:t>
        <w:tab/>
        <w:t>The choice of the laws of the State of New York as the governing law of the Securities (other than the Shares) and the Agreements has, or will have, been made in good faith and would be regarded as a valid and binding selection which will be upheld by the courts of the State of New York and any other relevant jurisdiction (other than the laws of the British Virgin Islands) as a matter of the laws of the State of New York and all other relevant laws (other than the laws of the British Virgin Islands).</w:t>
      </w:r>
    </w:p>
    <w:p>
      <w:pPr>
        <w:spacing w:after="0" w:line="141" w:lineRule="exact"/>
        <w:rPr>
          <w:sz w:val="20"/>
          <w:szCs w:val="20"/>
          <w:color w:val="auto"/>
        </w:rPr>
      </w:pPr>
    </w:p>
    <w:p>
      <w:pPr>
        <w:jc w:val="both"/>
        <w:ind w:left="380" w:hanging="513"/>
        <w:spacing w:after="0" w:line="263" w:lineRule="auto"/>
        <w:tabs>
          <w:tab w:leader="none" w:pos="360" w:val="left"/>
        </w:tabs>
        <w:rPr>
          <w:sz w:val="20"/>
          <w:szCs w:val="20"/>
          <w:color w:val="auto"/>
        </w:rPr>
      </w:pPr>
      <w:r>
        <w:rPr>
          <w:rFonts w:ascii="Arial" w:cs="Arial" w:eastAsia="Arial" w:hAnsi="Arial"/>
          <w:sz w:val="15"/>
          <w:szCs w:val="15"/>
          <w:color w:val="auto"/>
        </w:rPr>
        <w:t>2.6</w:t>
        <w:tab/>
        <w:t>The capacity, power, authority and legal right of all parties under all relevant laws and regulations (other than, with respect to the Company, the laws and regulations of the British Virgin Islands) to enter into, execute, unconditionally deliver and perform their respective obligations under the Securities (other than the Shares) and the Agreements.</w:t>
      </w:r>
    </w:p>
    <w:p>
      <w:pPr>
        <w:spacing w:after="0" w:line="140" w:lineRule="exact"/>
        <w:rPr>
          <w:sz w:val="20"/>
          <w:szCs w:val="20"/>
          <w:color w:val="auto"/>
        </w:rPr>
      </w:pPr>
    </w:p>
    <w:p>
      <w:pPr>
        <w:jc w:val="both"/>
        <w:ind w:left="420" w:hanging="513"/>
        <w:spacing w:after="0" w:line="288" w:lineRule="auto"/>
        <w:tabs>
          <w:tab w:leader="none" w:pos="400" w:val="left"/>
        </w:tabs>
        <w:rPr>
          <w:sz w:val="20"/>
          <w:szCs w:val="20"/>
          <w:color w:val="auto"/>
        </w:rPr>
      </w:pPr>
      <w:r>
        <w:rPr>
          <w:rFonts w:ascii="Arial" w:cs="Arial" w:eastAsia="Arial" w:hAnsi="Arial"/>
          <w:sz w:val="15"/>
          <w:szCs w:val="15"/>
          <w:color w:val="auto"/>
        </w:rPr>
        <w:t>2.7</w:t>
        <w:tab/>
        <w:t>Any Securities (other than the Shares) will be issued and authenticated in accordance with the provisions of all relevant duly authorised, executed and delivered Agreement.</w:t>
      </w:r>
    </w:p>
    <w:p>
      <w:pPr>
        <w:spacing w:after="0" w:line="121"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4"/>
          <w:szCs w:val="14"/>
          <w:color w:val="auto"/>
        </w:rPr>
        <w:t>The Securities (other than the Shares) and the Agreements will be, or have been, duly executed and delivered by an authorised person of the parties thereto.</w:t>
      </w:r>
    </w:p>
    <w:p>
      <w:pPr>
        <w:spacing w:after="0" w:line="181" w:lineRule="exact"/>
        <w:rPr>
          <w:sz w:val="20"/>
          <w:szCs w:val="20"/>
          <w:color w:val="auto"/>
        </w:rPr>
      </w:pPr>
    </w:p>
    <w:p>
      <w:pPr>
        <w:jc w:val="both"/>
        <w:ind w:left="420" w:hanging="513"/>
        <w:spacing w:after="0" w:line="273" w:lineRule="auto"/>
        <w:tabs>
          <w:tab w:leader="none" w:pos="400" w:val="left"/>
        </w:tabs>
        <w:rPr>
          <w:sz w:val="20"/>
          <w:szCs w:val="20"/>
          <w:color w:val="auto"/>
        </w:rPr>
      </w:pPr>
      <w:r>
        <w:rPr>
          <w:rFonts w:ascii="Arial" w:cs="Arial" w:eastAsia="Arial" w:hAnsi="Arial"/>
          <w:sz w:val="15"/>
          <w:szCs w:val="15"/>
          <w:color w:val="auto"/>
        </w:rPr>
        <w:t>2.9</w:t>
        <w:tab/>
        <w:t>There is no contractual or other prohibition or restriction (other than as arising under British Virgin Islands law) binding on the Company prohibiting or restricting it from entering into and performing its obligations under Securities (other than the Shares) and the Agreements.</w:t>
      </w:r>
    </w:p>
    <w:p>
      <w:pPr>
        <w:spacing w:after="0" w:line="132" w:lineRule="exact"/>
        <w:rPr>
          <w:sz w:val="20"/>
          <w:szCs w:val="20"/>
          <w:color w:val="auto"/>
        </w:rPr>
      </w:pPr>
    </w:p>
    <w:p>
      <w:pPr>
        <w:jc w:val="both"/>
        <w:ind w:left="500" w:hanging="513"/>
        <w:spacing w:after="0" w:line="288" w:lineRule="auto"/>
        <w:tabs>
          <w:tab w:leader="none" w:pos="480" w:val="left"/>
        </w:tabs>
        <w:rPr>
          <w:sz w:val="20"/>
          <w:szCs w:val="20"/>
          <w:color w:val="auto"/>
        </w:rPr>
      </w:pPr>
      <w:r>
        <w:rPr>
          <w:rFonts w:ascii="Arial" w:cs="Arial" w:eastAsia="Arial" w:hAnsi="Arial"/>
          <w:sz w:val="15"/>
          <w:szCs w:val="15"/>
          <w:color w:val="auto"/>
        </w:rPr>
        <w:t>2.10</w:t>
        <w:tab/>
        <w:t>No monies paid to or for the account of any party under the Agreements represent or will represent proceeds of criminal conduct (as defined in the Proceeds of Criminal Conduct Act (As Revised)).</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4"/>
          <w:szCs w:val="14"/>
          <w:color w:val="auto"/>
        </w:rPr>
        <w:t>The issue of the Securities and entry into the Agreements will be of commercial benefit to the Company.</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2.12</w:t>
        <w:tab/>
        <w:t>Copies of documents, conformed copies or drafts of documents provided to us are true and complete copies of, or in the final forms of, the originals.</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4"/>
          <w:szCs w:val="14"/>
          <w:color w:val="auto"/>
        </w:rPr>
        <w:t>All signatures, initials and seals are genuine.</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2.14</w:t>
        <w:tab/>
        <w:t>The Debt Securities will be issued and authenticated in accordance with the provisions of a duly authorised, executed and delivered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280"/>
          </w:cols>
          <w:pgMar w:left="300" w:top="1157" w:right="319" w:bottom="1440" w:gutter="0" w:footer="0" w:header="0"/>
        </w:sectPr>
      </w:pPr>
    </w:p>
    <w:bookmarkStart w:id="55" w:name="page56"/>
    <w:bookmarkEnd w:id="55"/>
    <w:p>
      <w:pPr>
        <w:jc w:val="both"/>
        <w:ind w:left="480" w:hanging="513"/>
        <w:spacing w:after="0" w:line="260" w:lineRule="auto"/>
        <w:tabs>
          <w:tab w:leader="none" w:pos="460" w:val="left"/>
        </w:tabs>
        <w:rPr>
          <w:sz w:val="20"/>
          <w:szCs w:val="20"/>
          <w:color w:val="auto"/>
        </w:rPr>
      </w:pPr>
      <w:r>
        <w:rPr>
          <w:rFonts w:ascii="Arial" w:cs="Arial" w:eastAsia="Arial" w:hAnsi="Arial"/>
          <w:sz w:val="15"/>
          <w:szCs w:val="15"/>
          <w:color w:val="auto"/>
        </w:rPr>
        <w:t>2.15</w:t>
        <w:tab/>
        <w:t>That all public records of the Company which we have examined are accurate and that the information disclosed by the searches which we conducted against the Company at the Registry of Corporate Affairs and the High Court Registry is true and complete and that such information has not since then been altered and that such searches did not fail to disclose any information which had been delivered for registration but did not appear on the public records at the date of our searches.</w:t>
      </w:r>
    </w:p>
    <w:p>
      <w:pPr>
        <w:spacing w:after="0" w:line="141" w:lineRule="exact"/>
        <w:rPr>
          <w:sz w:val="20"/>
          <w:szCs w:val="20"/>
          <w:color w:val="auto"/>
        </w:rPr>
      </w:pPr>
    </w:p>
    <w:p>
      <w:pPr>
        <w:jc w:val="both"/>
        <w:ind w:left="500" w:hanging="513"/>
        <w:spacing w:after="0" w:line="270" w:lineRule="auto"/>
        <w:tabs>
          <w:tab w:leader="none" w:pos="480" w:val="left"/>
        </w:tabs>
        <w:rPr>
          <w:sz w:val="20"/>
          <w:szCs w:val="20"/>
          <w:color w:val="auto"/>
        </w:rPr>
      </w:pPr>
      <w:r>
        <w:rPr>
          <w:rFonts w:ascii="Arial" w:cs="Arial" w:eastAsia="Arial" w:hAnsi="Arial"/>
          <w:sz w:val="15"/>
          <w:szCs w:val="15"/>
          <w:color w:val="auto"/>
        </w:rPr>
        <w:t>2.16</w:t>
        <w:tab/>
        <w:t>The Memorandum and Articles remain in full force and effect and are unamended other than in the case of Preferred Shares being issued under the Amended Memorandum and Articles. There will be sufficient Shares authorised for issue under the Memorandum and Articles or Amended Memorandum and Articles, as appropriate.</w:t>
      </w:r>
    </w:p>
    <w:p>
      <w:pPr>
        <w:spacing w:after="0" w:line="135" w:lineRule="exact"/>
        <w:rPr>
          <w:sz w:val="20"/>
          <w:szCs w:val="20"/>
          <w:color w:val="auto"/>
        </w:rPr>
      </w:pPr>
    </w:p>
    <w:p>
      <w:pPr>
        <w:jc w:val="both"/>
        <w:ind w:left="500" w:hanging="513"/>
        <w:spacing w:after="0" w:line="258" w:lineRule="auto"/>
        <w:tabs>
          <w:tab w:leader="none" w:pos="480" w:val="left"/>
        </w:tabs>
        <w:rPr>
          <w:sz w:val="20"/>
          <w:szCs w:val="20"/>
          <w:color w:val="auto"/>
        </w:rPr>
      </w:pPr>
      <w:r>
        <w:rPr>
          <w:rFonts w:ascii="Arial" w:cs="Arial" w:eastAsia="Arial" w:hAnsi="Arial"/>
          <w:sz w:val="15"/>
          <w:szCs w:val="15"/>
          <w:color w:val="auto"/>
        </w:rPr>
        <w:t>2.17</w:t>
        <w:tab/>
        <w:t>The Resolutions passed at any meeting of the board of directors of the Company are a true and correct record of the proceedings of a meeting of the board of directors of the Company, which was duly convened and held, and at which a quorum was present throughout and at which each director disclosed his interest (if any), in the manner prescribed in the Memorandum and Articles, and the resolutions passed at such meeting have not been amended, varied or revoked in any respect. The written resolutions of the board of directors dated 2 May 2026 were signed by all the directors in the manner prescribed in the Memorandum and Articles of the Company, including as to the disclosure of any director's interests, and have not been amended, varied or revoked in any respect.</w:t>
      </w:r>
    </w:p>
    <w:p>
      <w:pPr>
        <w:spacing w:after="0" w:line="144"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2.18</w:t>
      </w:r>
      <w:r>
        <w:rPr>
          <w:sz w:val="20"/>
          <w:szCs w:val="20"/>
          <w:color w:val="auto"/>
        </w:rPr>
        <w:tab/>
      </w:r>
      <w:r>
        <w:rPr>
          <w:rFonts w:ascii="Arial" w:cs="Arial" w:eastAsia="Arial" w:hAnsi="Arial"/>
          <w:sz w:val="14"/>
          <w:szCs w:val="14"/>
          <w:color w:val="auto"/>
        </w:rPr>
        <w:t>The members of the Company (the "</w:t>
      </w:r>
      <w:r>
        <w:rPr>
          <w:rFonts w:ascii="Arial" w:cs="Arial" w:eastAsia="Arial" w:hAnsi="Arial"/>
          <w:sz w:val="14"/>
          <w:szCs w:val="14"/>
          <w:b w:val="1"/>
          <w:bCs w:val="1"/>
          <w:color w:val="auto"/>
        </w:rPr>
        <w:t>Members</w:t>
      </w:r>
      <w:r>
        <w:rPr>
          <w:rFonts w:ascii="Arial" w:cs="Arial" w:eastAsia="Arial" w:hAnsi="Arial"/>
          <w:sz w:val="14"/>
          <w:szCs w:val="14"/>
          <w:color w:val="auto"/>
        </w:rPr>
        <w:t>") have not restricted or limited the powers of the directors of the Company in any way.</w:t>
      </w:r>
    </w:p>
    <w:p>
      <w:pPr>
        <w:spacing w:after="0" w:line="170"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2.19</w:t>
        <w:tab/>
        <w:t>The Company has sufficient authorised and unissued Shares under the Memorandum and Articles at the time any Shares are issued.</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2.20</w:t>
        <w:tab/>
        <w:t>No invitation has been or will be made by or on behalf of the Company to the public in the British Virgin Islands to subscribe for any of the Securities.</w:t>
      </w:r>
    </w:p>
    <w:p>
      <w:pPr>
        <w:spacing w:after="0" w:line="181"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2.21</w:t>
        <w:tab/>
        <w:t>The Company has received, or will receive, cash consideration or non-cash consideration in consideration for the issue of the Shares, and that:</w:t>
      </w:r>
    </w:p>
    <w:p>
      <w:pPr>
        <w:spacing w:after="0" w:line="181" w:lineRule="exact"/>
        <w:rPr>
          <w:sz w:val="20"/>
          <w:szCs w:val="20"/>
          <w:color w:val="auto"/>
        </w:rPr>
      </w:pPr>
    </w:p>
    <w:p>
      <w:pPr>
        <w:ind w:left="860" w:hanging="340"/>
        <w:spacing w:after="0"/>
        <w:tabs>
          <w:tab w:leader="none" w:pos="8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none of the Shares have been, or will be, issued for less than their par value; and</w:t>
      </w:r>
    </w:p>
    <w:p>
      <w:pPr>
        <w:spacing w:after="0" w:line="180" w:lineRule="exact"/>
        <w:rPr>
          <w:rFonts w:ascii="Arial" w:cs="Arial" w:eastAsia="Arial" w:hAnsi="Arial"/>
          <w:sz w:val="15"/>
          <w:szCs w:val="15"/>
          <w:color w:val="auto"/>
        </w:rPr>
      </w:pPr>
    </w:p>
    <w:p>
      <w:pPr>
        <w:ind w:left="1040" w:hanging="520"/>
        <w:spacing w:after="0" w:line="273" w:lineRule="auto"/>
        <w:tabs>
          <w:tab w:leader="none" w:pos="953" w:val="left"/>
        </w:tabs>
        <w:numPr>
          <w:ilvl w:val="0"/>
          <w:numId w:val="46"/>
        </w:numPr>
        <w:rPr>
          <w:rFonts w:ascii="Arial" w:cs="Arial" w:eastAsia="Arial" w:hAnsi="Arial"/>
          <w:sz w:val="15"/>
          <w:szCs w:val="15"/>
          <w:color w:val="auto"/>
        </w:rPr>
      </w:pPr>
      <w:r>
        <w:rPr>
          <w:rFonts w:ascii="Arial" w:cs="Arial" w:eastAsia="Arial" w:hAnsi="Arial"/>
          <w:sz w:val="15"/>
          <w:szCs w:val="15"/>
          <w:color w:val="auto"/>
        </w:rPr>
        <w:t>to the extent that any Shares are, or will be, issued, in whole or in part, for non-cash consideration, the value of the non-cash consideration and cash consideration, if any, is not less than the amount credited or to be credited for such Shares.</w:t>
      </w:r>
    </w:p>
    <w:p>
      <w:pPr>
        <w:spacing w:after="0" w:line="132" w:lineRule="exact"/>
        <w:rPr>
          <w:sz w:val="20"/>
          <w:szCs w:val="20"/>
          <w:color w:val="auto"/>
        </w:rPr>
      </w:pPr>
    </w:p>
    <w:p>
      <w:pPr>
        <w:jc w:val="both"/>
        <w:ind w:left="500" w:hanging="513"/>
        <w:spacing w:after="0" w:line="270" w:lineRule="auto"/>
        <w:tabs>
          <w:tab w:leader="none" w:pos="480" w:val="left"/>
        </w:tabs>
        <w:rPr>
          <w:sz w:val="20"/>
          <w:szCs w:val="20"/>
          <w:color w:val="auto"/>
        </w:rPr>
      </w:pPr>
      <w:r>
        <w:rPr>
          <w:rFonts w:ascii="Arial" w:cs="Arial" w:eastAsia="Arial" w:hAnsi="Arial"/>
          <w:sz w:val="15"/>
          <w:szCs w:val="15"/>
          <w:color w:val="auto"/>
        </w:rPr>
        <w:t>2.22</w:t>
        <w:tab/>
        <w:t>The Shares to be issued upon exchange or conversion of the Debt Securities or exercise of the Warrants or Rights are issued for cash consideration, or, to the extent that any Shares to be issued upon exchange or conversion of the Debt Securities or exercise of the Warrants or Rights are to be issued, in whole or in part, for non-cash consideration, the Company has passed or will pass a resolution of directors in respect of such Shares stating:</w:t>
      </w:r>
    </w:p>
    <w:p>
      <w:pPr>
        <w:spacing w:after="0" w:line="135" w:lineRule="exact"/>
        <w:rPr>
          <w:sz w:val="20"/>
          <w:szCs w:val="20"/>
          <w:color w:val="auto"/>
        </w:rPr>
      </w:pPr>
    </w:p>
    <w:p>
      <w:pPr>
        <w:ind w:left="860" w:hanging="340"/>
        <w:spacing w:after="0"/>
        <w:tabs>
          <w:tab w:leader="none" w:pos="8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 to be credited for the issue of such Shares; and</w:t>
      </w:r>
    </w:p>
    <w:p>
      <w:pPr>
        <w:spacing w:after="0" w:line="170" w:lineRule="exact"/>
        <w:rPr>
          <w:rFonts w:ascii="Arial" w:cs="Arial" w:eastAsia="Arial" w:hAnsi="Arial"/>
          <w:sz w:val="15"/>
          <w:szCs w:val="15"/>
          <w:color w:val="auto"/>
        </w:rPr>
      </w:pPr>
    </w:p>
    <w:p>
      <w:pPr>
        <w:ind w:left="1040" w:hanging="520"/>
        <w:spacing w:after="0" w:line="288" w:lineRule="auto"/>
        <w:tabs>
          <w:tab w:leader="none" w:pos="887"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that, in their opinion, the present cash value of the non-cash consideration and cash consideration, if any, is not less than the amount to be credited for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280"/>
          </w:cols>
          <w:pgMar w:left="300" w:top="1157" w:right="319" w:bottom="1440" w:gutter="0" w:footer="0" w:header="0"/>
        </w:sectPr>
      </w:pPr>
    </w:p>
    <w:bookmarkStart w:id="56" w:name="page57"/>
    <w:bookmarkEnd w:id="56"/>
    <w:p>
      <w:pPr>
        <w:spacing w:after="0"/>
        <w:tabs>
          <w:tab w:leader="none" w:pos="440" w:val="left"/>
        </w:tabs>
        <w:rPr>
          <w:sz w:val="20"/>
          <w:szCs w:val="20"/>
          <w:color w:val="auto"/>
        </w:rPr>
      </w:pPr>
      <w:r>
        <w:rPr>
          <w:rFonts w:ascii="Arial" w:cs="Arial" w:eastAsia="Arial" w:hAnsi="Arial"/>
          <w:sz w:val="15"/>
          <w:szCs w:val="15"/>
          <w:color w:val="auto"/>
        </w:rPr>
        <w:t>2.23</w:t>
      </w:r>
      <w:r>
        <w:rPr>
          <w:sz w:val="20"/>
          <w:szCs w:val="20"/>
          <w:color w:val="auto"/>
        </w:rPr>
        <w:tab/>
      </w:r>
      <w:r>
        <w:rPr>
          <w:rFonts w:ascii="Arial" w:cs="Arial" w:eastAsia="Arial" w:hAnsi="Arial"/>
          <w:sz w:val="14"/>
          <w:szCs w:val="14"/>
          <w:color w:val="auto"/>
        </w:rPr>
        <w:t>At the time of exchange or conversion of the Debt Securities or exercise of the Warrants or Rights in accordance with the terms and provisions of the applicable</w:t>
      </w:r>
    </w:p>
    <w:p>
      <w:pPr>
        <w:spacing w:after="0" w:line="2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Agreement (each such exercise, a "</w:t>
      </w:r>
      <w:r>
        <w:rPr>
          <w:rFonts w:ascii="Arial" w:cs="Arial" w:eastAsia="Arial" w:hAnsi="Arial"/>
          <w:sz w:val="15"/>
          <w:szCs w:val="15"/>
          <w:b w:val="1"/>
          <w:bCs w:val="1"/>
          <w:color w:val="auto"/>
        </w:rPr>
        <w:t>Conversion</w:t>
      </w:r>
      <w:r>
        <w:rPr>
          <w:rFonts w:ascii="Arial" w:cs="Arial" w:eastAsia="Arial" w:hAnsi="Arial"/>
          <w:sz w:val="15"/>
          <w:szCs w:val="15"/>
          <w:color w:val="auto"/>
        </w:rPr>
        <w:t>" or an "</w:t>
      </w:r>
      <w:r>
        <w:rPr>
          <w:rFonts w:ascii="Arial" w:cs="Arial" w:eastAsia="Arial" w:hAnsi="Arial"/>
          <w:sz w:val="15"/>
          <w:szCs w:val="15"/>
          <w:b w:val="1"/>
          <w:bCs w:val="1"/>
          <w:color w:val="auto"/>
        </w:rPr>
        <w:t>Exercise</w:t>
      </w:r>
      <w:r>
        <w:rPr>
          <w:rFonts w:ascii="Arial" w:cs="Arial" w:eastAsia="Arial" w:hAnsi="Arial"/>
          <w:sz w:val="15"/>
          <w:szCs w:val="15"/>
          <w:color w:val="auto"/>
        </w:rPr>
        <w:t>"):</w:t>
      </w:r>
    </w:p>
    <w:p>
      <w:pPr>
        <w:spacing w:after="0" w:line="145" w:lineRule="exact"/>
        <w:rPr>
          <w:sz w:val="20"/>
          <w:szCs w:val="20"/>
          <w:color w:val="auto"/>
        </w:rPr>
      </w:pPr>
    </w:p>
    <w:p>
      <w:pPr>
        <w:ind w:left="1040" w:right="220" w:hanging="520"/>
        <w:spacing w:after="0" w:line="288" w:lineRule="auto"/>
        <w:tabs>
          <w:tab w:leader="none" w:pos="876"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laws of the British Virgin Islands (including the Act (as defined below)) will not have changed in such way as to materially impact the Conversion or the Exercise;</w:t>
      </w:r>
    </w:p>
    <w:p>
      <w:pPr>
        <w:spacing w:after="0" w:line="121" w:lineRule="exact"/>
        <w:rPr>
          <w:rFonts w:ascii="Arial" w:cs="Arial" w:eastAsia="Arial" w:hAnsi="Arial"/>
          <w:sz w:val="15"/>
          <w:szCs w:val="15"/>
          <w:color w:val="auto"/>
        </w:rPr>
      </w:pPr>
    </w:p>
    <w:p>
      <w:pPr>
        <w:ind w:left="1040" w:hanging="520"/>
        <w:spacing w:after="0" w:line="288" w:lineRule="auto"/>
        <w:tabs>
          <w:tab w:leader="none" w:pos="897"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will have sufficient authorised but unissued Shares to effect the Conversion or the Exercise in accordance with the applicable Agreement, the Memorandum and Articles and the Act;</w:t>
      </w:r>
    </w:p>
    <w:p>
      <w:pPr>
        <w:spacing w:after="0" w:line="100" w:lineRule="exact"/>
        <w:rPr>
          <w:rFonts w:ascii="Arial" w:cs="Arial" w:eastAsia="Arial" w:hAnsi="Arial"/>
          <w:sz w:val="15"/>
          <w:szCs w:val="15"/>
          <w:color w:val="auto"/>
        </w:rPr>
      </w:pPr>
    </w:p>
    <w:p>
      <w:pPr>
        <w:ind w:left="860" w:hanging="340"/>
        <w:spacing w:after="0"/>
        <w:tabs>
          <w:tab w:leader="none" w:pos="8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will not have been struck off or placed in liquidation;</w:t>
      </w:r>
    </w:p>
    <w:p>
      <w:pPr>
        <w:spacing w:after="0" w:line="170" w:lineRule="exact"/>
        <w:rPr>
          <w:rFonts w:ascii="Arial" w:cs="Arial" w:eastAsia="Arial" w:hAnsi="Arial"/>
          <w:sz w:val="15"/>
          <w:szCs w:val="15"/>
          <w:color w:val="auto"/>
        </w:rPr>
      </w:pPr>
    </w:p>
    <w:p>
      <w:pPr>
        <w:ind w:left="860" w:hanging="340"/>
        <w:spacing w:after="0"/>
        <w:tabs>
          <w:tab w:leader="none" w:pos="8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issue price for each Share issued upon a Conversion or an Exercise will not be less than the par value of such Share; and</w:t>
      </w:r>
    </w:p>
    <w:p>
      <w:pPr>
        <w:spacing w:after="0" w:line="159" w:lineRule="exact"/>
        <w:rPr>
          <w:rFonts w:ascii="Arial" w:cs="Arial" w:eastAsia="Arial" w:hAnsi="Arial"/>
          <w:sz w:val="15"/>
          <w:szCs w:val="15"/>
          <w:color w:val="auto"/>
        </w:rPr>
      </w:pPr>
    </w:p>
    <w:p>
      <w:pPr>
        <w:ind w:left="1040" w:hanging="520"/>
        <w:spacing w:after="0" w:line="288" w:lineRule="auto"/>
        <w:tabs>
          <w:tab w:leader="none" w:pos="902"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terms and provisions of the Agreements relating to the Conversion and the Exercise and the terms of the Memorandum and Articles will not have been altered, amended or restated or subject to any adjustment.</w:t>
      </w:r>
    </w:p>
    <w:p>
      <w:pPr>
        <w:spacing w:after="0" w:line="100" w:lineRule="exact"/>
        <w:rPr>
          <w:sz w:val="20"/>
          <w:szCs w:val="20"/>
          <w:color w:val="auto"/>
        </w:rPr>
      </w:pPr>
    </w:p>
    <w:p>
      <w:pPr>
        <w:ind w:left="500" w:hanging="513"/>
        <w:spacing w:after="0" w:line="288" w:lineRule="auto"/>
        <w:tabs>
          <w:tab w:leader="none" w:pos="480" w:val="left"/>
        </w:tabs>
        <w:rPr>
          <w:sz w:val="20"/>
          <w:szCs w:val="20"/>
          <w:color w:val="auto"/>
        </w:rPr>
      </w:pPr>
      <w:r>
        <w:rPr>
          <w:rFonts w:ascii="Arial" w:cs="Arial" w:eastAsia="Arial" w:hAnsi="Arial"/>
          <w:sz w:val="15"/>
          <w:szCs w:val="15"/>
          <w:color w:val="auto"/>
        </w:rPr>
        <w:t>2.24</w:t>
        <w:tab/>
        <w:t>Prior to the re-sale of any Shares by a Selling Shareholder as contemplated by the Registration Statement, the Conversion or Exercise shall have occurred with regard to any Shares to be issued upon a Conversion or Exercise pursuant to the terms of the applicable Agreements.</w:t>
      </w:r>
    </w:p>
    <w:p>
      <w:pPr>
        <w:spacing w:after="0" w:line="121" w:lineRule="exact"/>
        <w:rPr>
          <w:sz w:val="20"/>
          <w:szCs w:val="20"/>
          <w:color w:val="auto"/>
        </w:rPr>
      </w:pPr>
    </w:p>
    <w:p>
      <w:pPr>
        <w:ind w:left="500" w:hanging="513"/>
        <w:spacing w:after="0" w:line="288" w:lineRule="auto"/>
        <w:tabs>
          <w:tab w:leader="none" w:pos="480" w:val="left"/>
        </w:tabs>
        <w:rPr>
          <w:sz w:val="20"/>
          <w:szCs w:val="20"/>
          <w:color w:val="auto"/>
        </w:rPr>
      </w:pPr>
      <w:r>
        <w:rPr>
          <w:rFonts w:ascii="Arial" w:cs="Arial" w:eastAsia="Arial" w:hAnsi="Arial"/>
          <w:sz w:val="15"/>
          <w:szCs w:val="15"/>
          <w:color w:val="auto"/>
        </w:rPr>
        <w:t>2.25</w:t>
        <w:tab/>
        <w:t>There is nothing under any law (other than the laws of the British Virgin Islands) which would or might affect the opinions set out below. We have not made any investigation of the laws, rules or regulations of any jurisdiction other than the laws of the British Virgin Islands.</w:t>
      </w:r>
    </w:p>
    <w:p>
      <w:pPr>
        <w:spacing w:after="0" w:line="25"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Save as aforesaid we have not been instructed to undertake and have not undertaken any further enquiry or due diligence in relation to the transaction the subject of this opinion.</w:t>
      </w:r>
    </w:p>
    <w:p>
      <w:pPr>
        <w:spacing w:after="0" w:line="113" w:lineRule="exact"/>
        <w:rPr>
          <w:sz w:val="20"/>
          <w:szCs w:val="20"/>
          <w:color w:val="auto"/>
        </w:rPr>
      </w:pPr>
    </w:p>
    <w:p>
      <w:pPr>
        <w:ind w:left="260" w:hanging="254"/>
        <w:spacing w:after="0"/>
        <w:tabs>
          <w:tab w:leader="none" w:pos="26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Opinions</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Based upon, and subject to, the foregoing assumptions and the qualifications set out below, and having regard to such legal considerations as we deem relevant, we are of the opinion that:</w:t>
      </w:r>
    </w:p>
    <w:p>
      <w:pPr>
        <w:spacing w:after="0" w:line="132" w:lineRule="exact"/>
        <w:rPr>
          <w:sz w:val="20"/>
          <w:szCs w:val="20"/>
          <w:color w:val="auto"/>
        </w:rPr>
      </w:pPr>
    </w:p>
    <w:p>
      <w:pPr>
        <w:jc w:val="both"/>
        <w:ind w:left="380" w:hanging="513"/>
        <w:spacing w:after="0" w:line="288" w:lineRule="auto"/>
        <w:tabs>
          <w:tab w:leader="none" w:pos="360" w:val="left"/>
        </w:tabs>
        <w:rPr>
          <w:sz w:val="20"/>
          <w:szCs w:val="20"/>
          <w:color w:val="auto"/>
        </w:rPr>
      </w:pPr>
      <w:r>
        <w:rPr>
          <w:rFonts w:ascii="Arial" w:cs="Arial" w:eastAsia="Arial" w:hAnsi="Arial"/>
          <w:sz w:val="15"/>
          <w:szCs w:val="15"/>
          <w:color w:val="auto"/>
        </w:rPr>
        <w:t>3.1</w:t>
        <w:tab/>
        <w:t>The Company is a company limited by shares incorporated with limited liability under the BVI Business Companies Act (As Revised) (the "</w:t>
      </w:r>
      <w:r>
        <w:rPr>
          <w:rFonts w:ascii="Arial" w:cs="Arial" w:eastAsia="Arial" w:hAnsi="Arial"/>
          <w:sz w:val="15"/>
          <w:szCs w:val="15"/>
          <w:b w:val="1"/>
          <w:bCs w:val="1"/>
          <w:color w:val="auto"/>
        </w:rPr>
        <w:t>Act</w:t>
      </w:r>
      <w:r>
        <w:rPr>
          <w:rFonts w:ascii="Arial" w:cs="Arial" w:eastAsia="Arial" w:hAnsi="Arial"/>
          <w:sz w:val="15"/>
          <w:szCs w:val="15"/>
          <w:color w:val="auto"/>
        </w:rPr>
        <w:t>"), is in good standing at the Registry of Corporate Affairs, is validly existing under the laws of the British Virgin Islands and possesses the capacity to sue and be sued in its own name.</w:t>
      </w:r>
    </w:p>
    <w:p>
      <w:pPr>
        <w:spacing w:after="0" w:line="121" w:lineRule="exact"/>
        <w:rPr>
          <w:sz w:val="20"/>
          <w:szCs w:val="20"/>
          <w:color w:val="auto"/>
        </w:rPr>
      </w:pPr>
    </w:p>
    <w:p>
      <w:pPr>
        <w:jc w:val="both"/>
        <w:ind w:left="420" w:hanging="513"/>
        <w:spacing w:after="0" w:line="258" w:lineRule="auto"/>
        <w:tabs>
          <w:tab w:leader="none" w:pos="400" w:val="left"/>
        </w:tabs>
        <w:rPr>
          <w:sz w:val="20"/>
          <w:szCs w:val="20"/>
          <w:color w:val="auto"/>
        </w:rPr>
      </w:pPr>
      <w:r>
        <w:rPr>
          <w:rFonts w:ascii="Arial" w:cs="Arial" w:eastAsia="Arial" w:hAnsi="Arial"/>
          <w:sz w:val="15"/>
          <w:szCs w:val="15"/>
          <w:color w:val="auto"/>
        </w:rPr>
        <w:t>3.2</w:t>
        <w:tab/>
        <w:t>With respect to the Common Shares, when: (a) the board of directors of the Company has taken all necessary corporate action to approve the issue thereof, the terms of the offering thereof and related matters; (b) the issue of such Common Shares have been recorded in the Company's register of members; and (c) the subscription price of such Common Shares have been fully paid in cash or other consideration approved by the board of directors of the Company, the Common Shares will be duly authorised, validly issued, fully-paid and non-assessable. As a matter of British Virgin Islands law, a share is only issued when it has been entered in the register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80"/>
          </w:cols>
          <w:pgMar w:left="300" w:top="1157" w:right="319" w:bottom="1440" w:gutter="0" w:footer="0" w:header="0"/>
        </w:sectPr>
      </w:pPr>
    </w:p>
    <w:bookmarkStart w:id="57" w:name="page58"/>
    <w:bookmarkEnd w:id="57"/>
    <w:p>
      <w:pPr>
        <w:spacing w:after="0"/>
        <w:tabs>
          <w:tab w:leader="none" w:pos="36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4"/>
          <w:szCs w:val="14"/>
          <w:color w:val="auto"/>
        </w:rPr>
        <w:t>The Company has all the requisite power and authority under the Memorandum and Articles to enter into, execute and perform its obligations under:</w:t>
      </w:r>
    </w:p>
    <w:p>
      <w:pPr>
        <w:spacing w:after="0" w:line="181" w:lineRule="exact"/>
        <w:rPr>
          <w:sz w:val="20"/>
          <w:szCs w:val="20"/>
          <w:color w:val="auto"/>
        </w:rPr>
      </w:pPr>
    </w:p>
    <w:p>
      <w:pPr>
        <w:ind w:left="860" w:hanging="340"/>
        <w:spacing w:after="0"/>
        <w:tabs>
          <w:tab w:leader="none" w:pos="8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Indenture to which it will be a party and the Debt Securities issuable under such Indenture to which it is, or will be, a party;</w:t>
      </w:r>
    </w:p>
    <w:p>
      <w:pPr>
        <w:spacing w:after="0" w:line="180" w:lineRule="exact"/>
        <w:rPr>
          <w:rFonts w:ascii="Arial" w:cs="Arial" w:eastAsia="Arial" w:hAnsi="Arial"/>
          <w:sz w:val="15"/>
          <w:szCs w:val="15"/>
          <w:color w:val="auto"/>
        </w:rPr>
      </w:pPr>
    </w:p>
    <w:p>
      <w:pPr>
        <w:ind w:left="860" w:hanging="340"/>
        <w:spacing w:after="0"/>
        <w:tabs>
          <w:tab w:leader="none" w:pos="8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Deposit Agreement to which it will be a party and the Depositary Shares issuable under each such Deposit Agreement to which it is, or will be, a party;</w:t>
      </w:r>
    </w:p>
    <w:p>
      <w:pPr>
        <w:spacing w:after="0" w:line="170" w:lineRule="exact"/>
        <w:rPr>
          <w:rFonts w:ascii="Arial" w:cs="Arial" w:eastAsia="Arial" w:hAnsi="Arial"/>
          <w:sz w:val="15"/>
          <w:szCs w:val="15"/>
          <w:color w:val="auto"/>
        </w:rPr>
      </w:pPr>
    </w:p>
    <w:p>
      <w:pPr>
        <w:ind w:left="860" w:hanging="340"/>
        <w:spacing w:after="0"/>
        <w:tabs>
          <w:tab w:leader="none" w:pos="8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Warrant Agreement to which it will be a party and the Warrants issuable under each such Warrant Agreement to which will be a party;</w:t>
      </w:r>
    </w:p>
    <w:p>
      <w:pPr>
        <w:spacing w:after="0" w:line="180" w:lineRule="exact"/>
        <w:rPr>
          <w:rFonts w:ascii="Arial" w:cs="Arial" w:eastAsia="Arial" w:hAnsi="Arial"/>
          <w:sz w:val="15"/>
          <w:szCs w:val="15"/>
          <w:color w:val="auto"/>
        </w:rPr>
      </w:pPr>
    </w:p>
    <w:p>
      <w:pPr>
        <w:ind w:left="860" w:hanging="340"/>
        <w:spacing w:after="0"/>
        <w:tabs>
          <w:tab w:leader="none" w:pos="8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Rights Agreement to which it will be a party and the Rights issuable under each such Rights Agreement to which will be a party;</w:t>
      </w:r>
    </w:p>
    <w:p>
      <w:pPr>
        <w:spacing w:after="0" w:line="180" w:lineRule="exact"/>
        <w:rPr>
          <w:rFonts w:ascii="Arial" w:cs="Arial" w:eastAsia="Arial" w:hAnsi="Arial"/>
          <w:sz w:val="15"/>
          <w:szCs w:val="15"/>
          <w:color w:val="auto"/>
        </w:rPr>
      </w:pPr>
    </w:p>
    <w:p>
      <w:pPr>
        <w:ind w:left="860" w:hanging="340"/>
        <w:spacing w:after="0"/>
        <w:tabs>
          <w:tab w:leader="none" w:pos="8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Purchase Contract to which it will be a party; and</w:t>
      </w:r>
    </w:p>
    <w:p>
      <w:pPr>
        <w:spacing w:after="0" w:line="180" w:lineRule="exact"/>
        <w:rPr>
          <w:rFonts w:ascii="Arial" w:cs="Arial" w:eastAsia="Arial" w:hAnsi="Arial"/>
          <w:sz w:val="15"/>
          <w:szCs w:val="15"/>
          <w:color w:val="auto"/>
        </w:rPr>
      </w:pPr>
    </w:p>
    <w:p>
      <w:pPr>
        <w:ind w:left="820" w:hanging="300"/>
        <w:spacing w:after="0"/>
        <w:tabs>
          <w:tab w:leader="none" w:pos="8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Unit Agreement to which it will be a party and the Units issuable under each such Unit Agreement to which will be a party.</w:t>
      </w:r>
    </w:p>
    <w:p>
      <w:pPr>
        <w:spacing w:after="0" w:line="181" w:lineRule="exact"/>
        <w:rPr>
          <w:sz w:val="20"/>
          <w:szCs w:val="20"/>
          <w:color w:val="auto"/>
        </w:rPr>
      </w:pPr>
    </w:p>
    <w:p>
      <w:pPr>
        <w:jc w:val="both"/>
        <w:ind w:left="440" w:hanging="513"/>
        <w:spacing w:after="0" w:line="258" w:lineRule="auto"/>
        <w:tabs>
          <w:tab w:leader="none" w:pos="420" w:val="left"/>
        </w:tabs>
        <w:rPr>
          <w:sz w:val="20"/>
          <w:szCs w:val="20"/>
          <w:color w:val="auto"/>
        </w:rPr>
      </w:pPr>
      <w:r>
        <w:rPr>
          <w:rFonts w:ascii="Arial" w:cs="Arial" w:eastAsia="Arial" w:hAnsi="Arial"/>
          <w:sz w:val="15"/>
          <w:szCs w:val="15"/>
          <w:color w:val="auto"/>
        </w:rPr>
        <w:t>3.4</w:t>
        <w:tab/>
        <w:t>With respect to the Preferred Shares, when (i) the board of directors of the Company has taken all necessary corporate action to approve the issue thereof, the terms of the offering thereof and related matters; (ii) the Amended Memorandum and Articles have been registered by the Registrar of Corporate Affairs in the British Virgin Islands, (iii) the issue of such Preferred Shares has been recorded in the Company's register of members, and (iv) the subscription price of such Preferred Shares (being not less than the par value of the Preferred Shares) has been fully paid in cash or other consideration approved by the board of directors of the Company, the Preferred Shares will be duly authorised, validly issued, fully paid and non-assessable.</w:t>
      </w:r>
    </w:p>
    <w:p>
      <w:pPr>
        <w:spacing w:after="0" w:line="144" w:lineRule="exact"/>
        <w:rPr>
          <w:sz w:val="20"/>
          <w:szCs w:val="20"/>
          <w:color w:val="auto"/>
        </w:rPr>
      </w:pPr>
    </w:p>
    <w:p>
      <w:pPr>
        <w:jc w:val="both"/>
        <w:ind w:left="400" w:hanging="513"/>
        <w:spacing w:after="0" w:line="257" w:lineRule="auto"/>
        <w:tabs>
          <w:tab w:leader="none" w:pos="380" w:val="left"/>
        </w:tabs>
        <w:rPr>
          <w:sz w:val="20"/>
          <w:szCs w:val="20"/>
          <w:color w:val="auto"/>
        </w:rPr>
      </w:pPr>
      <w:r>
        <w:rPr>
          <w:rFonts w:ascii="Arial" w:cs="Arial" w:eastAsia="Arial" w:hAnsi="Arial"/>
          <w:sz w:val="15"/>
          <w:szCs w:val="15"/>
          <w:color w:val="auto"/>
        </w:rPr>
        <w:t>3.5</w:t>
        <w:tab/>
        <w:t>With respect to each issue of Debt Securities pursuant to the Indenture, when (i) the board of directors of the Company has taken all necessary corporate action to approve the issue thereof, the terms of the offering thereof and related matters; (ii) the Indenture relating to the Debt Securities shall have been duly authorised and validly executed and delivered by the Company and the trustee thereunder; and (iii) when such Debt Securities issued thereunder have been duly executed and delivered on behalf of the Company and authenticated in the manner set forth in the Indenture relating to such issue of Debt Securities and delivered against due payment therefor pursuant to, and in accordance with, the terms of the Registration Statement and any relevant prospectus supplement, such Indenture and the Debt Securities issued pursuant to the Indenture will have been duly executed, issued and delivered.</w:t>
      </w:r>
    </w:p>
    <w:p>
      <w:pPr>
        <w:spacing w:after="0" w:line="134" w:lineRule="exact"/>
        <w:rPr>
          <w:sz w:val="20"/>
          <w:szCs w:val="20"/>
          <w:color w:val="auto"/>
        </w:rPr>
      </w:pPr>
    </w:p>
    <w:p>
      <w:pPr>
        <w:jc w:val="both"/>
        <w:ind w:left="440" w:hanging="513"/>
        <w:spacing w:after="0" w:line="257" w:lineRule="auto"/>
        <w:tabs>
          <w:tab w:leader="none" w:pos="420" w:val="left"/>
        </w:tabs>
        <w:rPr>
          <w:sz w:val="20"/>
          <w:szCs w:val="20"/>
          <w:color w:val="auto"/>
        </w:rPr>
      </w:pPr>
      <w:r>
        <w:rPr>
          <w:rFonts w:ascii="Arial" w:cs="Arial" w:eastAsia="Arial" w:hAnsi="Arial"/>
          <w:sz w:val="15"/>
          <w:szCs w:val="15"/>
          <w:color w:val="auto"/>
        </w:rPr>
        <w:t>3.6</w:t>
        <w:tab/>
        <w:t>With respect to the Deposit Agreements and the Depositary Shares, when (i) the board of directors of the Company has taken all necessary corporate action to approve the creation and terms of the Depositary Shares and to approve the issue thereof, the terms of the offering thereof and related matters; (ii) a Deposit Agreement relating to the Depositary Shares shall have been duly authorised and validly executed and delivered by the Company and the financial institution designated as depositary thereunder; and (iii) the certificates representing the Depositary Shares have been duly executed, countersigned, registered and delivered in accordance with the Deposit Agreement relating to the Depositary Shares and the applicable definitive purchase, underwriting or similar agreement approved by the board of directors of the Company upon payment of the consideration therefor provided therein,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280"/>
          </w:cols>
          <w:pgMar w:left="300" w:top="1157" w:right="319" w:bottom="1440" w:gutter="0" w:footer="0" w:header="0"/>
        </w:sectPr>
      </w:pPr>
    </w:p>
    <w:bookmarkStart w:id="58" w:name="page59"/>
    <w:bookmarkEnd w:id="58"/>
    <w:p>
      <w:pPr>
        <w:ind w:left="520"/>
        <w:spacing w:after="0"/>
        <w:rPr>
          <w:sz w:val="20"/>
          <w:szCs w:val="20"/>
          <w:color w:val="auto"/>
        </w:rPr>
      </w:pPr>
      <w:r>
        <w:rPr>
          <w:rFonts w:ascii="Arial" w:cs="Arial" w:eastAsia="Arial" w:hAnsi="Arial"/>
          <w:sz w:val="15"/>
          <w:szCs w:val="15"/>
          <w:color w:val="auto"/>
        </w:rPr>
        <w:t>Deposit Agreements and the Depositary Shares issued thereunder will be duly authorised, legal and binding obligations of the Company.</w:t>
      </w:r>
    </w:p>
    <w:p>
      <w:pPr>
        <w:spacing w:after="0" w:line="181" w:lineRule="exact"/>
        <w:rPr>
          <w:sz w:val="20"/>
          <w:szCs w:val="20"/>
          <w:color w:val="auto"/>
        </w:rPr>
      </w:pPr>
    </w:p>
    <w:p>
      <w:pPr>
        <w:jc w:val="both"/>
        <w:ind w:left="400" w:hanging="513"/>
        <w:spacing w:after="0" w:line="256" w:lineRule="auto"/>
        <w:tabs>
          <w:tab w:leader="none" w:pos="380" w:val="left"/>
        </w:tabs>
        <w:rPr>
          <w:sz w:val="20"/>
          <w:szCs w:val="20"/>
          <w:color w:val="auto"/>
        </w:rPr>
      </w:pPr>
      <w:r>
        <w:rPr>
          <w:rFonts w:ascii="Arial" w:cs="Arial" w:eastAsia="Arial" w:hAnsi="Arial"/>
          <w:sz w:val="15"/>
          <w:szCs w:val="15"/>
          <w:color w:val="auto"/>
        </w:rPr>
        <w:t>3.7</w:t>
        <w:tab/>
        <w:t>With respect to the Warrant Agreements and the Warrants, when (i) the board of directors of the Company has taken all necessary corporate action to approve the creation and terms of the Warrants and to approve the issue thereof, the terms of the offering thereof and related matters; (ii) a Warrant Agreement relating to the Warrants shall have been duly authorised and validly executed and delivered by the Company and the financial institution designated as warrant agent thereunder; and (iii) the certificates representing the Warrants have been duly executed, countersigned, registered and delivered in accordance with the Warrant Agreement relating to the Warrants and the applicable definitive purchase, underwriting or similar agreement approved by the board of directors of the Company upon payment of the consideration therefor provided therein, the Warrant Agreements and the Warrants issued thereunder will be duly authorised, legal and binding obligations of the Company.</w:t>
      </w:r>
    </w:p>
    <w:p>
      <w:pPr>
        <w:spacing w:after="0" w:line="136" w:lineRule="exact"/>
        <w:rPr>
          <w:sz w:val="20"/>
          <w:szCs w:val="20"/>
          <w:color w:val="auto"/>
        </w:rPr>
      </w:pPr>
    </w:p>
    <w:p>
      <w:pPr>
        <w:jc w:val="both"/>
        <w:ind w:left="440" w:hanging="513"/>
        <w:spacing w:after="0" w:line="259" w:lineRule="auto"/>
        <w:tabs>
          <w:tab w:leader="none" w:pos="420" w:val="left"/>
        </w:tabs>
        <w:rPr>
          <w:sz w:val="20"/>
          <w:szCs w:val="20"/>
          <w:color w:val="auto"/>
        </w:rPr>
      </w:pPr>
      <w:r>
        <w:rPr>
          <w:rFonts w:ascii="Arial" w:cs="Arial" w:eastAsia="Arial" w:hAnsi="Arial"/>
          <w:sz w:val="15"/>
          <w:szCs w:val="15"/>
          <w:color w:val="auto"/>
        </w:rPr>
        <w:t>3.8</w:t>
        <w:tab/>
        <w:t>With respect to the Rights Agreements and the Rights, when (i) the board of directors of the Company has taken all necessary corporate action to approve the creation and terms of the Rights and to approve the issue thereof, the terms of the offering thereof and related matters; (ii) a Rights Agreement relating to the Rights shall have been duly authorised and validly executed and delivered by the Company and the financial institution designated as rights agent thereunder; and</w:t>
      </w:r>
    </w:p>
    <w:p>
      <w:pPr>
        <w:spacing w:after="0" w:line="2" w:lineRule="exact"/>
        <w:rPr>
          <w:sz w:val="20"/>
          <w:szCs w:val="20"/>
          <w:color w:val="auto"/>
        </w:rPr>
      </w:pPr>
    </w:p>
    <w:p>
      <w:pPr>
        <w:jc w:val="both"/>
        <w:ind w:left="520"/>
        <w:spacing w:after="0" w:line="253" w:lineRule="auto"/>
        <w:tabs>
          <w:tab w:leader="none" w:pos="764"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certificates representing the Rights have been duly executed, countersigned, registered and delivered in accordance with the Rights Agreement relating to the Rights and the applicable definitive purchase, underwriting or similar agreement approved by the board of directors of the Company upon payment of the consideration therefor provided therein, the Rights Agreements and the Rights issued thereunder will be duly authorised, legal and binding obligations of the Company.</w:t>
      </w:r>
    </w:p>
    <w:p>
      <w:pPr>
        <w:spacing w:after="0" w:line="148" w:lineRule="exact"/>
        <w:rPr>
          <w:sz w:val="20"/>
          <w:szCs w:val="20"/>
          <w:color w:val="auto"/>
        </w:rPr>
      </w:pPr>
    </w:p>
    <w:p>
      <w:pPr>
        <w:jc w:val="both"/>
        <w:ind w:left="400" w:hanging="513"/>
        <w:spacing w:after="0" w:line="256" w:lineRule="auto"/>
        <w:tabs>
          <w:tab w:leader="none" w:pos="380" w:val="left"/>
        </w:tabs>
        <w:rPr>
          <w:sz w:val="20"/>
          <w:szCs w:val="20"/>
          <w:color w:val="auto"/>
        </w:rPr>
      </w:pPr>
      <w:r>
        <w:rPr>
          <w:rFonts w:ascii="Arial" w:cs="Arial" w:eastAsia="Arial" w:hAnsi="Arial"/>
          <w:sz w:val="15"/>
          <w:szCs w:val="15"/>
          <w:color w:val="auto"/>
        </w:rPr>
        <w:t>3.9</w:t>
        <w:tab/>
        <w:t>With respect to the Purchase Contracts, when a Purchase Contract shall have been duly authorised and validly executed and delivered by the Company and other parties thereto, such Purchase Contract will be duly authorised, legal and binding obligations of the Company. With respect to the Unit Agreements and the Units, when (i) the board of directors of the Company has taken all necessary corporate action to approve the creation and terms of the Units and to approve the issue thereof, the terms of the offering thereof and related matters; and (ii) a Unit Agreement relating to the Units shall have been duly authorised and validly executed and delivered by the Company and other parties thereto; and (iii) the certificates representing the Units have been duly executed, countersigned, registered and delivered in accordance with the Unit Agreement relating to the Units and the applicable definitive purchase, underwriting or similar agreement approved by the board of directors of the Company upon payment of the consideration therefor provided therein, the Unit Agreements and the Units issued thereunder will be duly authorised, legal and binding obligations of the Company.</w:t>
      </w:r>
    </w:p>
    <w:p>
      <w:pPr>
        <w:spacing w:after="0" w:line="135" w:lineRule="exact"/>
        <w:rPr>
          <w:sz w:val="20"/>
          <w:szCs w:val="20"/>
          <w:color w:val="auto"/>
        </w:rPr>
      </w:pPr>
    </w:p>
    <w:p>
      <w:pPr>
        <w:jc w:val="both"/>
        <w:ind w:left="460" w:hanging="513"/>
        <w:spacing w:after="0" w:line="262" w:lineRule="auto"/>
        <w:tabs>
          <w:tab w:leader="none" w:pos="440" w:val="left"/>
        </w:tabs>
        <w:rPr>
          <w:sz w:val="20"/>
          <w:szCs w:val="20"/>
          <w:color w:val="auto"/>
        </w:rPr>
      </w:pPr>
      <w:r>
        <w:rPr>
          <w:rFonts w:ascii="Arial" w:cs="Arial" w:eastAsia="Arial" w:hAnsi="Arial"/>
          <w:sz w:val="15"/>
          <w:szCs w:val="15"/>
          <w:color w:val="auto"/>
        </w:rPr>
        <w:t>3.10</w:t>
        <w:tab/>
        <w:t>With respect to the Unit Agreements and the Units, when (i) the board of directors of the Company has taken all necessary corporate action to approve the creation and terms of the Units and to approve the issue thereof, the terms of the offering thereof and related matters; (ii) a Unit Agreement relating to the Units shall have been duly authorised and validly executed and delivered by the Company and other parties thereto; and (iii) the certificates representing the Units have been duly executed, countersigned, registered and delivered in accordance with the Unit Agreement relating to the Units and the applicable definitive purchase, underwriting or similar agreement approved by the board of directors of the Company upon payment of the consideration therefor provided therein, the Unit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280"/>
          </w:cols>
          <w:pgMar w:left="300" w:top="1157" w:right="319" w:bottom="1440" w:gutter="0" w:footer="0" w:header="0"/>
        </w:sectPr>
      </w:pPr>
    </w:p>
    <w:bookmarkStart w:id="59" w:name="page60"/>
    <w:bookmarkEnd w:id="59"/>
    <w:p>
      <w:pPr>
        <w:ind w:left="520"/>
        <w:spacing w:after="0"/>
        <w:rPr>
          <w:sz w:val="20"/>
          <w:szCs w:val="20"/>
          <w:color w:val="auto"/>
        </w:rPr>
      </w:pPr>
      <w:r>
        <w:rPr>
          <w:rFonts w:ascii="Arial" w:cs="Arial" w:eastAsia="Arial" w:hAnsi="Arial"/>
          <w:sz w:val="15"/>
          <w:szCs w:val="15"/>
          <w:color w:val="auto"/>
        </w:rPr>
        <w:t>and the Units issued thereunder will be duly authorised, legal and binding obligations of the Company.</w:t>
      </w:r>
    </w:p>
    <w:p>
      <w:pPr>
        <w:spacing w:after="0" w:line="181" w:lineRule="exact"/>
        <w:rPr>
          <w:sz w:val="20"/>
          <w:szCs w:val="20"/>
          <w:color w:val="auto"/>
        </w:rPr>
      </w:pPr>
    </w:p>
    <w:p>
      <w:pPr>
        <w:jc w:val="both"/>
        <w:ind w:left="520" w:hanging="513"/>
        <w:spacing w:after="0" w:line="258" w:lineRule="auto"/>
        <w:tabs>
          <w:tab w:leader="none" w:pos="500" w:val="left"/>
        </w:tabs>
        <w:rPr>
          <w:sz w:val="20"/>
          <w:szCs w:val="20"/>
          <w:color w:val="auto"/>
        </w:rPr>
      </w:pPr>
      <w:r>
        <w:rPr>
          <w:rFonts w:ascii="Arial" w:cs="Arial" w:eastAsia="Arial" w:hAnsi="Arial"/>
          <w:sz w:val="15"/>
          <w:szCs w:val="15"/>
          <w:color w:val="auto"/>
        </w:rPr>
        <w:t>3.11</w:t>
      </w:r>
      <w:r>
        <w:rPr>
          <w:sz w:val="20"/>
          <w:szCs w:val="20"/>
          <w:color w:val="auto"/>
        </w:rPr>
        <w:tab/>
      </w:r>
      <w:r>
        <w:rPr>
          <w:rFonts w:ascii="Arial" w:cs="Arial" w:eastAsia="Arial" w:hAnsi="Arial"/>
          <w:sz w:val="15"/>
          <w:szCs w:val="15"/>
          <w:color w:val="auto"/>
        </w:rPr>
        <w:t>With respect to any Shares to be resold by the selling shareholders as contemplated by the Registration Statement, when (a) the board of directors of the Company has taken all necessary corporate action to approve the issue thereof, the terms of the offering thereof and related matters; (b) the issue of such Shares have been recorded in the Company's register of members; and (c) the subscription price of such Shares have been fully paid in cash or other consideration approved by the board of directors of the Company, such Shares will be duly authorised, validly issued, fully-paid and non-assessable. As a matter of British Virgin Islands law, a share is only issued when it has been entered in the register of members.</w:t>
      </w:r>
    </w:p>
    <w:p>
      <w:pPr>
        <w:spacing w:after="0" w:line="135" w:lineRule="exact"/>
        <w:rPr>
          <w:sz w:val="20"/>
          <w:szCs w:val="20"/>
          <w:color w:val="auto"/>
        </w:rPr>
      </w:pPr>
    </w:p>
    <w:p>
      <w:pPr>
        <w:ind w:left="260" w:hanging="254"/>
        <w:spacing w:after="0"/>
        <w:tabs>
          <w:tab w:leader="none" w:pos="2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Qualifications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The opinions expressed above are subject to the following qualifications:</w:t>
      </w:r>
    </w:p>
    <w:p>
      <w:pPr>
        <w:spacing w:after="0" w:line="181"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4"/>
          <w:szCs w:val="14"/>
          <w:color w:val="auto"/>
        </w:rPr>
        <w:t>We have not reviewed the Agreements or the terms of the Securities (other than the Common Shares) and our opinions are qualified accordingly.</w:t>
      </w:r>
    </w:p>
    <w:p>
      <w:pPr>
        <w:spacing w:after="0" w:line="181" w:lineRule="exact"/>
        <w:rPr>
          <w:sz w:val="20"/>
          <w:szCs w:val="20"/>
          <w:color w:val="auto"/>
        </w:rPr>
      </w:pPr>
    </w:p>
    <w:p>
      <w:pPr>
        <w:ind w:left="500" w:hanging="513"/>
        <w:spacing w:after="0" w:line="288" w:lineRule="auto"/>
        <w:tabs>
          <w:tab w:leader="none" w:pos="48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5"/>
          <w:szCs w:val="15"/>
          <w:color w:val="auto"/>
        </w:rPr>
        <w:t>The obligations assumed by the Company under the Agreements and the issuance of the Securities thereunder will not necessarily be enforceable in all circumstances in accordance with their terms. In particular:</w:t>
      </w:r>
    </w:p>
    <w:p>
      <w:pPr>
        <w:spacing w:after="0" w:line="121" w:lineRule="exact"/>
        <w:rPr>
          <w:sz w:val="20"/>
          <w:szCs w:val="20"/>
          <w:color w:val="auto"/>
        </w:rPr>
      </w:pPr>
    </w:p>
    <w:p>
      <w:pPr>
        <w:ind w:left="1040" w:hanging="520"/>
        <w:spacing w:after="0" w:line="273" w:lineRule="auto"/>
        <w:tabs>
          <w:tab w:leader="none" w:pos="906" w:val="left"/>
        </w:tabs>
        <w:numPr>
          <w:ilvl w:val="0"/>
          <w:numId w:val="53"/>
        </w:numPr>
        <w:rPr>
          <w:rFonts w:ascii="Arial" w:cs="Arial" w:eastAsia="Arial" w:hAnsi="Arial"/>
          <w:sz w:val="15"/>
          <w:szCs w:val="15"/>
          <w:color w:val="auto"/>
        </w:rPr>
      </w:pPr>
      <w:r>
        <w:rPr>
          <w:rFonts w:ascii="Arial" w:cs="Arial" w:eastAsia="Arial" w:hAnsi="Arial"/>
          <w:sz w:val="15"/>
          <w:szCs w:val="15"/>
          <w:color w:val="auto"/>
        </w:rPr>
        <w:t>enforcement may be limited by bankruptcy, insolvency, liquidation, reorganisation, readjustment of debts or moratorium or other laws of general application relating to or affecting the rights of creditors;</w:t>
      </w:r>
    </w:p>
    <w:p>
      <w:pPr>
        <w:spacing w:after="0" w:line="132" w:lineRule="exact"/>
        <w:rPr>
          <w:rFonts w:ascii="Arial" w:cs="Arial" w:eastAsia="Arial" w:hAnsi="Arial"/>
          <w:sz w:val="15"/>
          <w:szCs w:val="15"/>
          <w:color w:val="auto"/>
        </w:rPr>
      </w:pPr>
    </w:p>
    <w:p>
      <w:pPr>
        <w:ind w:left="1040" w:hanging="520"/>
        <w:spacing w:after="0" w:line="288" w:lineRule="auto"/>
        <w:tabs>
          <w:tab w:leader="none" w:pos="905" w:val="left"/>
        </w:tabs>
        <w:numPr>
          <w:ilvl w:val="0"/>
          <w:numId w:val="53"/>
        </w:numPr>
        <w:rPr>
          <w:rFonts w:ascii="Arial" w:cs="Arial" w:eastAsia="Arial" w:hAnsi="Arial"/>
          <w:sz w:val="15"/>
          <w:szCs w:val="15"/>
          <w:color w:val="auto"/>
        </w:rPr>
      </w:pPr>
      <w:r>
        <w:rPr>
          <w:rFonts w:ascii="Arial" w:cs="Arial" w:eastAsia="Arial" w:hAnsi="Arial"/>
          <w:sz w:val="15"/>
          <w:szCs w:val="15"/>
          <w:color w:val="auto"/>
        </w:rPr>
        <w:t>enforcement may be limited by general principles of equity. For example, equitable remedies such as specific performance may not be available, inter alia, where damages are considered to be an adequate remedy;</w:t>
      </w:r>
    </w:p>
    <w:p>
      <w:pPr>
        <w:spacing w:after="0" w:line="121" w:lineRule="exact"/>
        <w:rPr>
          <w:rFonts w:ascii="Arial" w:cs="Arial" w:eastAsia="Arial" w:hAnsi="Arial"/>
          <w:sz w:val="15"/>
          <w:szCs w:val="15"/>
          <w:color w:val="auto"/>
        </w:rPr>
      </w:pPr>
    </w:p>
    <w:p>
      <w:pPr>
        <w:ind w:left="1040" w:hanging="520"/>
        <w:spacing w:after="0" w:line="288"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some claims may become barred under relevant statutes of limitation or may be or become subject to defences of set off, counterclaim, estoppel and similar defences;</w:t>
      </w:r>
    </w:p>
    <w:p>
      <w:pPr>
        <w:spacing w:after="0" w:line="110" w:lineRule="exact"/>
        <w:rPr>
          <w:rFonts w:ascii="Arial" w:cs="Arial" w:eastAsia="Arial" w:hAnsi="Arial"/>
          <w:sz w:val="15"/>
          <w:szCs w:val="15"/>
          <w:color w:val="auto"/>
        </w:rPr>
      </w:pPr>
    </w:p>
    <w:p>
      <w:pPr>
        <w:ind w:left="1040" w:hanging="520"/>
        <w:spacing w:after="0" w:line="288" w:lineRule="auto"/>
        <w:tabs>
          <w:tab w:leader="none" w:pos="880" w:val="left"/>
        </w:tabs>
        <w:numPr>
          <w:ilvl w:val="0"/>
          <w:numId w:val="53"/>
        </w:numPr>
        <w:rPr>
          <w:rFonts w:ascii="Arial" w:cs="Arial" w:eastAsia="Arial" w:hAnsi="Arial"/>
          <w:sz w:val="15"/>
          <w:szCs w:val="15"/>
          <w:color w:val="auto"/>
        </w:rPr>
      </w:pPr>
      <w:r>
        <w:rPr>
          <w:rFonts w:ascii="Arial" w:cs="Arial" w:eastAsia="Arial" w:hAnsi="Arial"/>
          <w:sz w:val="15"/>
          <w:szCs w:val="15"/>
          <w:color w:val="auto"/>
        </w:rPr>
        <w:t>where obligations are to be performed in a jurisdiction outside the British Virgin Islands, they may not be enforceable in the British Virgin Islands to the extent that performance would be illegal under the laws of that jurisdiction;</w:t>
      </w:r>
    </w:p>
    <w:p>
      <w:pPr>
        <w:spacing w:after="0" w:line="121" w:lineRule="exact"/>
        <w:rPr>
          <w:rFonts w:ascii="Arial" w:cs="Arial" w:eastAsia="Arial" w:hAnsi="Arial"/>
          <w:sz w:val="15"/>
          <w:szCs w:val="15"/>
          <w:color w:val="auto"/>
        </w:rPr>
      </w:pPr>
    </w:p>
    <w:p>
      <w:pPr>
        <w:ind w:left="860" w:hanging="340"/>
        <w:spacing w:after="0"/>
        <w:tabs>
          <w:tab w:leader="none" w:pos="8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courts of the British Virgin Islands have jurisdiction to give judgment in the currency of the relevant obligation;</w:t>
      </w:r>
    </w:p>
    <w:p>
      <w:pPr>
        <w:spacing w:after="0" w:line="180" w:lineRule="exact"/>
        <w:rPr>
          <w:rFonts w:ascii="Arial" w:cs="Arial" w:eastAsia="Arial" w:hAnsi="Arial"/>
          <w:sz w:val="15"/>
          <w:szCs w:val="15"/>
          <w:color w:val="auto"/>
        </w:rPr>
      </w:pPr>
    </w:p>
    <w:p>
      <w:pPr>
        <w:ind w:left="820" w:hanging="300"/>
        <w:spacing w:after="0"/>
        <w:tabs>
          <w:tab w:leader="none" w:pos="8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arrangements that constitute penalties will not be enforceable;</w:t>
      </w:r>
    </w:p>
    <w:p>
      <w:pPr>
        <w:spacing w:after="0" w:line="180" w:lineRule="exact"/>
        <w:rPr>
          <w:rFonts w:ascii="Arial" w:cs="Arial" w:eastAsia="Arial" w:hAnsi="Arial"/>
          <w:sz w:val="15"/>
          <w:szCs w:val="15"/>
          <w:color w:val="auto"/>
        </w:rPr>
      </w:pPr>
    </w:p>
    <w:p>
      <w:pPr>
        <w:ind w:left="1040" w:hanging="520"/>
        <w:spacing w:after="0" w:line="273" w:lineRule="auto"/>
        <w:tabs>
          <w:tab w:leader="none" w:pos="877" w:val="left"/>
        </w:tabs>
        <w:numPr>
          <w:ilvl w:val="0"/>
          <w:numId w:val="53"/>
        </w:numPr>
        <w:rPr>
          <w:rFonts w:ascii="Arial" w:cs="Arial" w:eastAsia="Arial" w:hAnsi="Arial"/>
          <w:sz w:val="15"/>
          <w:szCs w:val="15"/>
          <w:color w:val="auto"/>
        </w:rPr>
      </w:pPr>
      <w:r>
        <w:rPr>
          <w:rFonts w:ascii="Arial" w:cs="Arial" w:eastAsia="Arial" w:hAnsi="Arial"/>
          <w:sz w:val="15"/>
          <w:szCs w:val="15"/>
          <w:color w:val="auto"/>
        </w:rPr>
        <w:t>enforcement may be prevented by reason of fraud, coercion, duress, undue influence, misrepresentation, public policy or mistake or limited by the doctrine of frustration of contracts;</w:t>
      </w:r>
    </w:p>
    <w:p>
      <w:pPr>
        <w:spacing w:after="0" w:line="132" w:lineRule="exact"/>
        <w:rPr>
          <w:rFonts w:ascii="Arial" w:cs="Arial" w:eastAsia="Arial" w:hAnsi="Arial"/>
          <w:sz w:val="15"/>
          <w:szCs w:val="15"/>
          <w:color w:val="auto"/>
        </w:rPr>
      </w:pPr>
    </w:p>
    <w:p>
      <w:pPr>
        <w:ind w:left="1040" w:hanging="520"/>
        <w:spacing w:after="0" w:line="288" w:lineRule="auto"/>
        <w:tabs>
          <w:tab w:leader="none" w:pos="882" w:val="left"/>
        </w:tabs>
        <w:numPr>
          <w:ilvl w:val="0"/>
          <w:numId w:val="53"/>
        </w:numPr>
        <w:rPr>
          <w:rFonts w:ascii="Arial" w:cs="Arial" w:eastAsia="Arial" w:hAnsi="Arial"/>
          <w:sz w:val="15"/>
          <w:szCs w:val="15"/>
          <w:color w:val="auto"/>
        </w:rPr>
      </w:pPr>
      <w:r>
        <w:rPr>
          <w:rFonts w:ascii="Arial" w:cs="Arial" w:eastAsia="Arial" w:hAnsi="Arial"/>
          <w:sz w:val="15"/>
          <w:szCs w:val="15"/>
          <w:color w:val="auto"/>
        </w:rPr>
        <w:t>an agreement made by a person in the course of carrying on unauthorised financial services business is unenforceable against the other party under section 50F of the Financial Services Commission Act (As Revised);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300" w:top="1157" w:right="319" w:bottom="1440" w:gutter="0" w:footer="0" w:header="0"/>
        </w:sectPr>
      </w:pPr>
    </w:p>
    <w:bookmarkStart w:id="60" w:name="page61"/>
    <w:bookmarkEnd w:id="60"/>
    <w:p>
      <w:pPr>
        <w:ind w:left="820" w:hanging="300"/>
        <w:spacing w:after="0"/>
        <w:tabs>
          <w:tab w:leader="none" w:pos="8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provisions imposing confidentiality obligations may be overridden by compulsion of applicable law or the requirements of legal and/or regulatory process;</w:t>
      </w:r>
    </w:p>
    <w:p>
      <w:pPr>
        <w:spacing w:after="0" w:line="180" w:lineRule="exact"/>
        <w:rPr>
          <w:rFonts w:ascii="Arial" w:cs="Arial" w:eastAsia="Arial" w:hAnsi="Arial"/>
          <w:sz w:val="15"/>
          <w:szCs w:val="15"/>
          <w:color w:val="auto"/>
        </w:rPr>
      </w:pPr>
    </w:p>
    <w:p>
      <w:pPr>
        <w:ind w:left="1040" w:hanging="520"/>
        <w:spacing w:after="0" w:line="288" w:lineRule="auto"/>
        <w:tabs>
          <w:tab w:leader="none" w:pos="826"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courts of the British Virgin Islands may decline to exercise jurisdiction in relation to substantive proceedings brought under or in relation to the Agreements in matters where they determine that such proceedings may be tried in a more appropriate forum;</w:t>
      </w:r>
    </w:p>
    <w:p>
      <w:pPr>
        <w:spacing w:after="0" w:line="110" w:lineRule="exact"/>
        <w:rPr>
          <w:rFonts w:ascii="Arial" w:cs="Arial" w:eastAsia="Arial" w:hAnsi="Arial"/>
          <w:sz w:val="15"/>
          <w:szCs w:val="15"/>
          <w:color w:val="auto"/>
        </w:rPr>
      </w:pPr>
    </w:p>
    <w:p>
      <w:pPr>
        <w:ind w:left="860" w:hanging="340"/>
        <w:spacing w:after="0"/>
        <w:tabs>
          <w:tab w:leader="none" w:pos="8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person who is not a party to an Agreement that is governed by British Virgin Islands law will not have the benefit of and will not be able to enforce its terms;</w:t>
      </w:r>
    </w:p>
    <w:p>
      <w:pPr>
        <w:spacing w:after="0" w:line="180" w:lineRule="exact"/>
        <w:rPr>
          <w:rFonts w:ascii="Arial" w:cs="Arial" w:eastAsia="Arial" w:hAnsi="Arial"/>
          <w:sz w:val="15"/>
          <w:szCs w:val="15"/>
          <w:color w:val="auto"/>
        </w:rPr>
      </w:pPr>
    </w:p>
    <w:p>
      <w:pPr>
        <w:ind w:left="1040" w:hanging="520"/>
        <w:spacing w:after="0" w:line="288" w:lineRule="auto"/>
        <w:tabs>
          <w:tab w:leader="none" w:pos="846"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any provision of an Agreement that is governed by British Virgin Islands law which expresses any matter to be determined by future agreement may be void or unenforceable;</w:t>
      </w:r>
    </w:p>
    <w:p>
      <w:pPr>
        <w:spacing w:after="0" w:line="121" w:lineRule="exact"/>
        <w:rPr>
          <w:rFonts w:ascii="Arial" w:cs="Arial" w:eastAsia="Arial" w:hAnsi="Arial"/>
          <w:sz w:val="15"/>
          <w:szCs w:val="15"/>
          <w:color w:val="auto"/>
        </w:rPr>
      </w:pPr>
    </w:p>
    <w:p>
      <w:pPr>
        <w:ind w:left="1040" w:hanging="520"/>
        <w:spacing w:after="0" w:line="288" w:lineRule="auto"/>
        <w:tabs>
          <w:tab w:leader="none" w:pos="923" w:val="left"/>
        </w:tabs>
        <w:numPr>
          <w:ilvl w:val="0"/>
          <w:numId w:val="54"/>
        </w:numPr>
        <w:rPr>
          <w:rFonts w:ascii="Arial" w:cs="Arial" w:eastAsia="Arial" w:hAnsi="Arial"/>
          <w:sz w:val="15"/>
          <w:szCs w:val="15"/>
          <w:color w:val="auto"/>
        </w:rPr>
      </w:pPr>
      <w:r>
        <w:rPr>
          <w:rFonts w:ascii="Arial" w:cs="Arial" w:eastAsia="Arial" w:hAnsi="Arial"/>
          <w:sz w:val="15"/>
          <w:szCs w:val="15"/>
          <w:color w:val="auto"/>
        </w:rPr>
        <w:t>we reserve our opinion as to the enforceability of the relevant provisions of an Agreement to the extent that it purports to grant exclusive jurisdiction as there may be circumstances in which the courts of the British Virgin Islands would accept jurisdiction notwithstanding such provisions; and</w:t>
      </w:r>
    </w:p>
    <w:p>
      <w:pPr>
        <w:spacing w:after="0" w:line="110" w:lineRule="exact"/>
        <w:rPr>
          <w:rFonts w:ascii="Arial" w:cs="Arial" w:eastAsia="Arial" w:hAnsi="Arial"/>
          <w:sz w:val="15"/>
          <w:szCs w:val="15"/>
          <w:color w:val="auto"/>
        </w:rPr>
      </w:pPr>
    </w:p>
    <w:p>
      <w:pPr>
        <w:ind w:left="1040" w:hanging="520"/>
        <w:spacing w:after="0" w:line="265" w:lineRule="auto"/>
        <w:tabs>
          <w:tab w:leader="none" w:pos="902"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company cannot, by agreement or in its articles of association, restrict the exercise of a statutory power and there is doubt as to the enforceability of any provision in the Agreements whereby the Company covenants to restrict the exercise of powers specifically given to it under the Act including, without limitation, the power to increase its maximum number of shares, amend its memorandum and articles of association or present a petition to a British Virgin Islands court for an order to wind up the Company.</w:t>
      </w:r>
    </w:p>
    <w:p>
      <w:pPr>
        <w:spacing w:after="0" w:line="138"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4"/>
          <w:szCs w:val="14"/>
          <w:color w:val="auto"/>
        </w:rPr>
        <w:t>Applicable court fees will be payable in respect of enforcement of the Agreements.</w:t>
      </w:r>
    </w:p>
    <w:p>
      <w:pPr>
        <w:spacing w:after="0" w:line="170" w:lineRule="exact"/>
        <w:rPr>
          <w:sz w:val="20"/>
          <w:szCs w:val="20"/>
          <w:color w:val="auto"/>
        </w:rPr>
      </w:pPr>
    </w:p>
    <w:p>
      <w:pPr>
        <w:jc w:val="both"/>
        <w:ind w:left="400" w:hanging="513"/>
        <w:spacing w:after="0" w:line="265" w:lineRule="auto"/>
        <w:tabs>
          <w:tab w:leader="none" w:pos="380" w:val="left"/>
        </w:tabs>
        <w:rPr>
          <w:sz w:val="20"/>
          <w:szCs w:val="20"/>
          <w:color w:val="auto"/>
        </w:rPr>
      </w:pPr>
      <w:r>
        <w:rPr>
          <w:rFonts w:ascii="Arial" w:cs="Arial" w:eastAsia="Arial" w:hAnsi="Arial"/>
          <w:sz w:val="15"/>
          <w:szCs w:val="15"/>
          <w:color w:val="auto"/>
        </w:rPr>
        <w:t>4.4</w:t>
        <w:tab/>
        <w:t>To maintain the Company in good standing with the Registrar of Corporate Affairs under the laws of the British Virgin Islands, annual filing fees must be paid, and certain statutory filings and returns made to the Registrar of Corporate Affairs within the time frame prescribed by law. As a consequence of a failure to pay annual filing fees, or to make certain filings or returns, on time, or to demonstrate compliance with certain statutory economic substance requirements where relevant, the Company may be liable to be struck off the register of companies and dissolved.</w:t>
      </w:r>
    </w:p>
    <w:p>
      <w:pPr>
        <w:spacing w:after="0" w:line="138"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4.5</w:t>
      </w:r>
      <w:r>
        <w:rPr>
          <w:sz w:val="20"/>
          <w:szCs w:val="20"/>
          <w:color w:val="auto"/>
        </w:rPr>
        <w:tab/>
      </w:r>
      <w:r>
        <w:rPr>
          <w:rFonts w:ascii="Arial" w:cs="Arial" w:eastAsia="Arial" w:hAnsi="Arial"/>
          <w:sz w:val="14"/>
          <w:szCs w:val="14"/>
          <w:color w:val="auto"/>
        </w:rPr>
        <w:t>We express no opinion as to the application of, or the Company's compliance with, the British Virgin Islands economic substance regime.</w:t>
      </w:r>
    </w:p>
    <w:p>
      <w:pPr>
        <w:spacing w:after="0" w:line="170" w:lineRule="exact"/>
        <w:rPr>
          <w:sz w:val="20"/>
          <w:szCs w:val="20"/>
          <w:color w:val="auto"/>
        </w:rPr>
      </w:pPr>
    </w:p>
    <w:p>
      <w:pPr>
        <w:jc w:val="both"/>
        <w:ind w:left="420" w:hanging="513"/>
        <w:spacing w:after="0" w:line="270" w:lineRule="auto"/>
        <w:tabs>
          <w:tab w:leader="none" w:pos="400" w:val="left"/>
        </w:tabs>
        <w:rPr>
          <w:sz w:val="20"/>
          <w:szCs w:val="20"/>
          <w:color w:val="auto"/>
        </w:rPr>
      </w:pPr>
      <w:r>
        <w:rPr>
          <w:rFonts w:ascii="Arial" w:cs="Arial" w:eastAsia="Arial" w:hAnsi="Arial"/>
          <w:sz w:val="15"/>
          <w:szCs w:val="15"/>
          <w:color w:val="auto"/>
        </w:rPr>
        <w:t>4.6</w:t>
        <w:tab/>
        <w:t>Preferred creditors under British Virgin Islands law will rank ahead of unsecured creditors of the Company. Furthermore, all costs, charges and expenses properly incurred in the winding up of a company, including the remuneration of the liquidators, are payable out of the assets of the company in priority to all other unsecured claims.</w:t>
      </w:r>
    </w:p>
    <w:p>
      <w:pPr>
        <w:spacing w:after="0" w:line="135" w:lineRule="exact"/>
        <w:rPr>
          <w:sz w:val="20"/>
          <w:szCs w:val="20"/>
          <w:color w:val="auto"/>
        </w:rPr>
      </w:pPr>
    </w:p>
    <w:p>
      <w:pPr>
        <w:jc w:val="both"/>
        <w:ind w:left="420" w:hanging="513"/>
        <w:spacing w:after="0" w:line="263" w:lineRule="auto"/>
        <w:tabs>
          <w:tab w:leader="none" w:pos="400" w:val="left"/>
        </w:tabs>
        <w:rPr>
          <w:sz w:val="20"/>
          <w:szCs w:val="20"/>
          <w:color w:val="auto"/>
        </w:rPr>
      </w:pPr>
      <w:r>
        <w:rPr>
          <w:rFonts w:ascii="Arial" w:cs="Arial" w:eastAsia="Arial" w:hAnsi="Arial"/>
          <w:sz w:val="15"/>
          <w:szCs w:val="15"/>
          <w:color w:val="auto"/>
        </w:rPr>
        <w:t>4.7</w:t>
        <w:tab/>
        <w:t>The obligations of the Company may be subject to restrictions pursuant to United Nations and United Kingdom sanctions extended to the British Virgin Islands by Orders in Council and/or sanctions imposed by governmental or regulatory authorities or agencies in the British Virgin Islands under British Virgin Islands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280"/>
          </w:cols>
          <w:pgMar w:left="300" w:top="1157" w:right="319" w:bottom="1440" w:gutter="0" w:footer="0" w:header="0"/>
        </w:sectPr>
      </w:pPr>
    </w:p>
    <w:bookmarkStart w:id="61" w:name="page62"/>
    <w:bookmarkEnd w:id="61"/>
    <w:p>
      <w:pPr>
        <w:jc w:val="both"/>
        <w:ind w:left="380" w:hanging="513"/>
        <w:spacing w:after="0" w:line="288" w:lineRule="auto"/>
        <w:tabs>
          <w:tab w:leader="none" w:pos="360" w:val="left"/>
        </w:tabs>
        <w:rPr>
          <w:sz w:val="20"/>
          <w:szCs w:val="20"/>
          <w:color w:val="auto"/>
        </w:rPr>
      </w:pPr>
      <w:r>
        <w:rPr>
          <w:rFonts w:ascii="Arial" w:cs="Arial" w:eastAsia="Arial" w:hAnsi="Arial"/>
          <w:sz w:val="15"/>
          <w:szCs w:val="15"/>
          <w:color w:val="auto"/>
        </w:rPr>
        <w:t>4.8</w:t>
        <w:tab/>
        <w:t>A certificate, determination, calculation or designation of any party to an Agreement as to any matter provided therein might be held by a British Virgin Islands court not to be conclusive final and binding if, for example, it could be shown to have an unreasonable or arbitrary basis, or in the event of manifest error</w:t>
      </w:r>
    </w:p>
    <w:p>
      <w:pPr>
        <w:spacing w:after="0" w:line="121" w:lineRule="exact"/>
        <w:rPr>
          <w:sz w:val="20"/>
          <w:szCs w:val="20"/>
          <w:color w:val="auto"/>
        </w:rPr>
      </w:pPr>
    </w:p>
    <w:p>
      <w:pPr>
        <w:jc w:val="both"/>
        <w:ind w:left="400" w:hanging="513"/>
        <w:spacing w:after="0" w:line="263" w:lineRule="auto"/>
        <w:tabs>
          <w:tab w:leader="none" w:pos="380" w:val="left"/>
        </w:tabs>
        <w:rPr>
          <w:sz w:val="20"/>
          <w:szCs w:val="20"/>
          <w:color w:val="auto"/>
        </w:rPr>
      </w:pPr>
      <w:r>
        <w:rPr>
          <w:rFonts w:ascii="Arial" w:cs="Arial" w:eastAsia="Arial" w:hAnsi="Arial"/>
          <w:sz w:val="15"/>
          <w:szCs w:val="15"/>
          <w:color w:val="auto"/>
        </w:rPr>
        <w:t>4.9</w:t>
        <w:tab/>
        <w:t>We reserve our opinion as to the extent to which the courts of the British Virgin Islands would, in the event of any relevant illegality or invalidity, sever the relevant provisions of an Agreement and enforce the remainder of the Agreement or the transaction of which such provisions form a part, notwithstanding any express provisions in an Agreement in this regard.</w:t>
      </w:r>
    </w:p>
    <w:p>
      <w:pPr>
        <w:spacing w:after="0" w:line="140" w:lineRule="exact"/>
        <w:rPr>
          <w:sz w:val="20"/>
          <w:szCs w:val="20"/>
          <w:color w:val="auto"/>
        </w:rPr>
      </w:pPr>
    </w:p>
    <w:p>
      <w:pPr>
        <w:jc w:val="both"/>
        <w:ind w:left="500" w:hanging="513"/>
        <w:spacing w:after="0" w:line="288" w:lineRule="auto"/>
        <w:tabs>
          <w:tab w:leader="none" w:pos="480" w:val="left"/>
        </w:tabs>
        <w:rPr>
          <w:sz w:val="20"/>
          <w:szCs w:val="20"/>
          <w:color w:val="auto"/>
        </w:rPr>
      </w:pPr>
      <w:r>
        <w:rPr>
          <w:rFonts w:ascii="Arial" w:cs="Arial" w:eastAsia="Arial" w:hAnsi="Arial"/>
          <w:sz w:val="15"/>
          <w:szCs w:val="15"/>
          <w:color w:val="auto"/>
        </w:rPr>
        <w:t>4.10</w:t>
        <w:tab/>
        <w:t>We express no opinion as to the meaning, validity or effect of any references to foreign (i.e. non-British Virgin Islands) statutes, rules, regulations, codes, judicial authority or any other promulgations and any references to them in an Agreement.</w:t>
      </w:r>
    </w:p>
    <w:p>
      <w:pPr>
        <w:spacing w:after="0" w:line="121" w:lineRule="exact"/>
        <w:rPr>
          <w:sz w:val="20"/>
          <w:szCs w:val="20"/>
          <w:color w:val="auto"/>
        </w:rPr>
      </w:pPr>
    </w:p>
    <w:p>
      <w:pPr>
        <w:jc w:val="both"/>
        <w:ind w:left="480" w:hanging="513"/>
        <w:spacing w:after="0" w:line="254" w:lineRule="auto"/>
        <w:tabs>
          <w:tab w:leader="none" w:pos="460" w:val="left"/>
        </w:tabs>
        <w:rPr>
          <w:sz w:val="20"/>
          <w:szCs w:val="20"/>
          <w:color w:val="auto"/>
        </w:rPr>
      </w:pPr>
      <w:r>
        <w:rPr>
          <w:rFonts w:ascii="Arial" w:cs="Arial" w:eastAsia="Arial" w:hAnsi="Arial"/>
          <w:sz w:val="15"/>
          <w:szCs w:val="15"/>
          <w:color w:val="auto"/>
        </w:rPr>
        <w:t>4.11</w:t>
        <w:tab/>
        <w:t xml:space="preserve">Under British Virgin Islands law, the register of members is </w:t>
      </w:r>
      <w:r>
        <w:rPr>
          <w:rFonts w:ascii="Arial" w:cs="Arial" w:eastAsia="Arial" w:hAnsi="Arial"/>
          <w:sz w:val="15"/>
          <w:szCs w:val="15"/>
          <w:i w:val="1"/>
          <w:iCs w:val="1"/>
          <w:color w:val="auto"/>
        </w:rPr>
        <w:t>prima facie</w:t>
      </w:r>
      <w:r>
        <w:rPr>
          <w:rFonts w:ascii="Arial" w:cs="Arial" w:eastAsia="Arial" w:hAnsi="Arial"/>
          <w:sz w:val="15"/>
          <w:szCs w:val="15"/>
          <w:color w:val="auto"/>
        </w:rPr>
        <w:t xml:space="preserve"> evidence of title to shares and this register would not record a third party interest in such shares. However, there are certain limited circumstances where an application may be made to a British Virgin Islands court for a determination on whether the register of members reflects the correct legal position. Further, the British Virgin Islands court has the power to order that the register of members maintained by a company should be rectified where it considers that the register of members does not reflect the correct legal position.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British Virgin Islands court.</w:t>
      </w:r>
    </w:p>
    <w:p>
      <w:pPr>
        <w:spacing w:after="0" w:line="146" w:lineRule="exact"/>
        <w:rPr>
          <w:sz w:val="20"/>
          <w:szCs w:val="20"/>
          <w:color w:val="auto"/>
        </w:rPr>
      </w:pPr>
    </w:p>
    <w:p>
      <w:pPr>
        <w:jc w:val="both"/>
        <w:ind w:left="460" w:hanging="513"/>
        <w:spacing w:after="0" w:line="265" w:lineRule="auto"/>
        <w:tabs>
          <w:tab w:leader="none" w:pos="440" w:val="left"/>
        </w:tabs>
        <w:rPr>
          <w:sz w:val="20"/>
          <w:szCs w:val="20"/>
          <w:color w:val="auto"/>
        </w:rPr>
      </w:pPr>
      <w:r>
        <w:rPr>
          <w:rFonts w:ascii="Arial" w:cs="Arial" w:eastAsia="Arial" w:hAnsi="Arial"/>
          <w:sz w:val="15"/>
          <w:szCs w:val="15"/>
          <w:color w:val="auto"/>
        </w:rPr>
        <w:t>4.12</w:t>
        <w:tab/>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27" w:lineRule="exact"/>
        <w:rPr>
          <w:sz w:val="20"/>
          <w:szCs w:val="20"/>
          <w:color w:val="auto"/>
        </w:rPr>
      </w:pPr>
    </w:p>
    <w:p>
      <w:pPr>
        <w:jc w:val="both"/>
        <w:ind w:left="480" w:hanging="513"/>
        <w:spacing w:after="0" w:line="270" w:lineRule="auto"/>
        <w:tabs>
          <w:tab w:leader="none" w:pos="460" w:val="left"/>
        </w:tabs>
        <w:rPr>
          <w:sz w:val="20"/>
          <w:szCs w:val="20"/>
          <w:color w:val="auto"/>
        </w:rPr>
      </w:pPr>
      <w:r>
        <w:rPr>
          <w:rFonts w:ascii="Arial" w:cs="Arial" w:eastAsia="Arial" w:hAnsi="Arial"/>
          <w:sz w:val="15"/>
          <w:szCs w:val="15"/>
          <w:color w:val="auto"/>
        </w:rPr>
        <w:t>4.13</w:t>
        <w:tab/>
        <w:t>We express no view as to the commercial terms of the Securities or the Agreements or whether such terms represent the intentions of the parties and we make no comment with respect to any representations and warranties which may be made by or with respect to the Company in any of the documents or instruments cited in this opinion or otherwise with respect to the commercial terms of the transactions the subject of this opinion.</w:t>
      </w:r>
    </w:p>
    <w:p>
      <w:pPr>
        <w:spacing w:after="0" w:line="50" w:lineRule="exact"/>
        <w:rPr>
          <w:sz w:val="20"/>
          <w:szCs w:val="20"/>
          <w:color w:val="auto"/>
        </w:rPr>
      </w:pPr>
    </w:p>
    <w:p>
      <w:pPr>
        <w:jc w:val="both"/>
        <w:spacing w:after="0" w:line="263" w:lineRule="auto"/>
        <w:rPr>
          <w:sz w:val="20"/>
          <w:szCs w:val="20"/>
          <w:color w:val="auto"/>
        </w:rPr>
      </w:pPr>
      <w:r>
        <w:rPr>
          <w:rFonts w:ascii="Arial" w:cs="Arial" w:eastAsia="Arial" w:hAnsi="Arial"/>
          <w:sz w:val="15"/>
          <w:szCs w:val="15"/>
          <w:color w:val="auto"/>
        </w:rPr>
        <w:t>We hereby consent to the filing of this opinion as an exhibit to the Registration Statement and to the reference to our firm under the heading "Validity of Securities" in the prospectus included in the Registration Statement. In providing our consent, we do not thereby admit that we are in the category of persons whose consent is required under Section 7 of the SEC Act or the rules and regulations of the Commission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280"/>
          </w:cols>
          <w:pgMar w:left="300" w:top="1157" w:right="319" w:bottom="1440" w:gutter="0" w:footer="0" w:header="0"/>
        </w:sectPr>
      </w:pPr>
    </w:p>
    <w:bookmarkStart w:id="62" w:name="page63"/>
    <w:bookmarkEnd w:id="62"/>
    <w:p>
      <w:pPr>
        <w:spacing w:after="0" w:line="288" w:lineRule="auto"/>
        <w:rPr>
          <w:sz w:val="20"/>
          <w:szCs w:val="20"/>
          <w:color w:val="auto"/>
        </w:rPr>
      </w:pPr>
      <w:r>
        <w:rPr>
          <w:rFonts w:ascii="Arial" w:cs="Arial" w:eastAsia="Arial" w:hAnsi="Arial"/>
          <w:sz w:val="15"/>
          <w:szCs w:val="15"/>
          <w:color w:val="auto"/>
        </w:rPr>
        <w:t>This opinion is addressed to you and may be relied upon by you, your counsel and purchasers of Securities pursuant to the Registration Statement. This opinion is limited to the matters detailed herein and is not to be read as an opinion with respect to any other matter.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Yours faithfully</w:t>
      </w:r>
    </w:p>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/s/ Maples and Calder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color w:val="auto"/>
        </w:rPr>
        <w:t>Maples and Calder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280"/>
          </w:cols>
          <w:pgMar w:left="300" w:top="1157"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5"/>
          <w:szCs w:val="15"/>
          <w:b w:val="1"/>
          <w:bCs w:val="1"/>
          <w:color w:val="auto"/>
        </w:rPr>
        <w:t>Appendix A</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Director's Certificate (S-3 Shelf)</w:t>
      </w:r>
    </w:p>
    <w:p>
      <w:pPr>
        <w:spacing w:after="0" w:line="95"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To:</w:t>
        <w:tab/>
        <w:t>Maples and Calder</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5</w:t>
      </w:r>
      <w:r>
        <w:rPr>
          <w:rFonts w:ascii="Arial" w:cs="Arial" w:eastAsia="Arial" w:hAnsi="Arial"/>
          <w:sz w:val="9"/>
          <w:szCs w:val="9"/>
          <w:color w:val="auto"/>
        </w:rPr>
        <w:t>th</w:t>
      </w:r>
      <w:r>
        <w:rPr>
          <w:rFonts w:ascii="Arial" w:cs="Arial" w:eastAsia="Arial" w:hAnsi="Arial"/>
          <w:sz w:val="15"/>
          <w:szCs w:val="15"/>
          <w:color w:val="auto"/>
        </w:rPr>
        <w:t xml:space="preserve"> Floor, Ritter House</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PO Box 173</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Road Town</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Tortola</w:t>
      </w:r>
    </w:p>
    <w:p>
      <w:pPr>
        <w:spacing w:after="0" w:line="1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British Virgin Islands</w:t>
      </w:r>
    </w:p>
    <w:p>
      <w:pPr>
        <w:spacing w:after="0" w:line="71" w:lineRule="exact"/>
        <w:rPr>
          <w:sz w:val="20"/>
          <w:szCs w:val="20"/>
          <w:color w:val="auto"/>
        </w:rPr>
      </w:pPr>
    </w:p>
    <w:p>
      <w:pPr>
        <w:ind w:left="10500"/>
        <w:spacing w:after="0"/>
        <w:rPr>
          <w:sz w:val="20"/>
          <w:szCs w:val="20"/>
          <w:color w:val="auto"/>
        </w:rPr>
      </w:pPr>
      <w:r>
        <w:rPr>
          <w:rFonts w:ascii="Arial" w:cs="Arial" w:eastAsia="Arial" w:hAnsi="Arial"/>
          <w:sz w:val="14"/>
          <w:szCs w:val="14"/>
          <w:color w:val="auto"/>
        </w:rPr>
        <w:t>2 May 2026</w:t>
      </w: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auto"/>
        </w:rPr>
        <w:t>Dear Sirs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Biohaven Limited </w:t>
      </w:r>
      <w:r>
        <w:rPr>
          <w:rFonts w:ascii="Arial" w:cs="Arial" w:eastAsia="Arial" w:hAnsi="Arial"/>
          <w:sz w:val="15"/>
          <w:szCs w:val="15"/>
          <w:color w:val="auto"/>
        </w:rPr>
        <w:t>(the "</w:t>
      </w:r>
      <w:r>
        <w:rPr>
          <w:rFonts w:ascii="Arial" w:cs="Arial" w:eastAsia="Arial" w:hAnsi="Arial"/>
          <w:sz w:val="15"/>
          <w:szCs w:val="15"/>
          <w:b w:val="1"/>
          <w:bCs w:val="1"/>
          <w:color w:val="auto"/>
        </w:rPr>
        <w:t>Company</w:t>
      </w:r>
      <w:r>
        <w:rPr>
          <w:rFonts w:ascii="Arial" w:cs="Arial" w:eastAsia="Arial" w:hAnsi="Arial"/>
          <w:sz w:val="15"/>
          <w:szCs w:val="15"/>
          <w:color w:val="auto"/>
        </w:rPr>
        <w:t>")</w:t>
      </w:r>
    </w:p>
    <w:p>
      <w:pPr>
        <w:spacing w:after="0" w:line="85"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 the undersigned, being a director of the Company, am aware that you are being asked to provide a legal opinion in relation to certain aspects of British Virgin Islands law (the "</w:t>
      </w:r>
      <w:r>
        <w:rPr>
          <w:rFonts w:ascii="Arial" w:cs="Arial" w:eastAsia="Arial" w:hAnsi="Arial"/>
          <w:sz w:val="15"/>
          <w:szCs w:val="15"/>
          <w:b w:val="1"/>
          <w:bCs w:val="1"/>
          <w:color w:val="auto"/>
        </w:rPr>
        <w:t>Opinion</w:t>
      </w:r>
      <w:r>
        <w:rPr>
          <w:rFonts w:ascii="Arial" w:cs="Arial" w:eastAsia="Arial" w:hAnsi="Arial"/>
          <w:sz w:val="15"/>
          <w:szCs w:val="15"/>
          <w:color w:val="auto"/>
        </w:rPr>
        <w:t>"). Unless otherwise defined herein, capitalised terms used in this certificate have the meaning given to them in the Opinion. I hereby certify that:</w:t>
      </w:r>
    </w:p>
    <w:p>
      <w:pPr>
        <w:spacing w:after="0" w:line="106" w:lineRule="exact"/>
        <w:rPr>
          <w:sz w:val="20"/>
          <w:szCs w:val="20"/>
          <w:color w:val="auto"/>
        </w:rPr>
      </w:pPr>
    </w:p>
    <w:p>
      <w:pPr>
        <w:ind w:left="300" w:hanging="294"/>
        <w:spacing w:after="0"/>
        <w:tabs>
          <w:tab w:leader="none" w:pos="3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Memorandum and Articles of Association of the Company registered on 30 September 2022 remain in full force and effect and are unamended.</w:t>
      </w:r>
    </w:p>
    <w:p>
      <w:pPr>
        <w:spacing w:after="0" w:line="181" w:lineRule="exact"/>
        <w:rPr>
          <w:sz w:val="20"/>
          <w:szCs w:val="20"/>
          <w:color w:val="auto"/>
        </w:rPr>
      </w:pPr>
    </w:p>
    <w:p>
      <w:pPr>
        <w:ind w:left="520" w:hanging="514"/>
        <w:spacing w:after="0" w:line="263" w:lineRule="auto"/>
        <w:tabs>
          <w:tab w:leader="none" w:pos="373"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director resolutions dated 2 May 2026 (the "</w:t>
      </w:r>
      <w:r>
        <w:rPr>
          <w:rFonts w:ascii="Arial" w:cs="Arial" w:eastAsia="Arial" w:hAnsi="Arial"/>
          <w:sz w:val="15"/>
          <w:szCs w:val="15"/>
          <w:b w:val="1"/>
          <w:bCs w:val="1"/>
          <w:color w:val="auto"/>
        </w:rPr>
        <w:t>Written Resolutions</w:t>
      </w:r>
      <w:r>
        <w:rPr>
          <w:rFonts w:ascii="Arial" w:cs="Arial" w:eastAsia="Arial" w:hAnsi="Arial"/>
          <w:sz w:val="15"/>
          <w:szCs w:val="15"/>
          <w:color w:val="auto"/>
        </w:rPr>
        <w:t>") were duly passed in the manner prescribed in the Memorandum and Articles (including, without limitation, with respect to the disclosure of interests (if any) by directors of the Company). The Written Resolutions have not been amended, varied or revoked in any respect and the directors of the Company have not restricted or limited the powers of any future directors of the Company in any way.</w:t>
      </w:r>
    </w:p>
    <w:p>
      <w:pPr>
        <w:spacing w:after="0" w:line="140" w:lineRule="exact"/>
        <w:rPr>
          <w:sz w:val="20"/>
          <w:szCs w:val="20"/>
          <w:color w:val="auto"/>
        </w:rPr>
      </w:pPr>
    </w:p>
    <w:p>
      <w:pPr>
        <w:ind w:left="520" w:hanging="514"/>
        <w:spacing w:after="0" w:line="288" w:lineRule="auto"/>
        <w:tabs>
          <w:tab w:leader="none" w:pos="334"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Company is authorised to issue a maximum of 210,000,000 shares divided into 200,000,000 common shares of a single class of no par value and 10,000,000 preferred shares of a single class of no par value.</w:t>
      </w:r>
    </w:p>
    <w:p>
      <w:pPr>
        <w:spacing w:after="0" w:line="121" w:lineRule="exact"/>
        <w:rPr>
          <w:sz w:val="20"/>
          <w:szCs w:val="20"/>
          <w:color w:val="auto"/>
        </w:rPr>
      </w:pPr>
    </w:p>
    <w:p>
      <w:pPr>
        <w:ind w:left="520" w:hanging="514"/>
        <w:spacing w:after="0" w:line="288" w:lineRule="auto"/>
        <w:tabs>
          <w:tab w:leader="none" w:pos="444" w:val="left"/>
        </w:tabs>
        <w:numPr>
          <w:ilvl w:val="0"/>
          <w:numId w:val="58"/>
        </w:numPr>
        <w:rPr>
          <w:rFonts w:ascii="Arial" w:cs="Arial" w:eastAsia="Arial" w:hAnsi="Arial"/>
          <w:sz w:val="15"/>
          <w:szCs w:val="15"/>
          <w:color w:val="auto"/>
        </w:rPr>
      </w:pPr>
      <w:r>
        <w:rPr>
          <w:rFonts w:ascii="Arial" w:cs="Arial" w:eastAsia="Arial" w:hAnsi="Arial"/>
          <w:sz w:val="15"/>
          <w:szCs w:val="15"/>
          <w:color w:val="auto"/>
        </w:rPr>
        <w:t>Immediately prior to the issuance of any the Shares, the Company will have sufficient authorised but unissued shares in order for Shares to be issued as contemplated by the Registration Statement.</w:t>
      </w:r>
    </w:p>
    <w:p>
      <w:pPr>
        <w:spacing w:after="0" w:line="111" w:lineRule="exact"/>
        <w:rPr>
          <w:sz w:val="20"/>
          <w:szCs w:val="20"/>
          <w:color w:val="auto"/>
        </w:rPr>
      </w:pPr>
    </w:p>
    <w:p>
      <w:pPr>
        <w:ind w:left="300" w:hanging="294"/>
        <w:spacing w:after="0"/>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shareholders of the Company (the "</w:t>
      </w:r>
      <w:r>
        <w:rPr>
          <w:rFonts w:ascii="Arial" w:cs="Arial" w:eastAsia="Arial" w:hAnsi="Arial"/>
          <w:sz w:val="15"/>
          <w:szCs w:val="15"/>
          <w:b w:val="1"/>
          <w:bCs w:val="1"/>
          <w:color w:val="auto"/>
        </w:rPr>
        <w:t>Shareholders</w:t>
      </w:r>
      <w:r>
        <w:rPr>
          <w:rFonts w:ascii="Arial" w:cs="Arial" w:eastAsia="Arial" w:hAnsi="Arial"/>
          <w:sz w:val="15"/>
          <w:szCs w:val="15"/>
          <w:color w:val="auto"/>
        </w:rPr>
        <w:t>") have not restricted or limited the powers of the directors of the Company in any way.</w:t>
      </w:r>
    </w:p>
    <w:p>
      <w:pPr>
        <w:spacing w:after="0" w:line="181" w:lineRule="exact"/>
        <w:rPr>
          <w:sz w:val="20"/>
          <w:szCs w:val="20"/>
          <w:color w:val="auto"/>
        </w:rPr>
      </w:pPr>
    </w:p>
    <w:p>
      <w:pPr>
        <w:ind w:left="520" w:hanging="514"/>
        <w:spacing w:after="0" w:line="288" w:lineRule="auto"/>
        <w:tabs>
          <w:tab w:leader="none" w:pos="295"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directors of the Company at the date of the Written Resolutions and at the date of this certificate were and are Vladimir Coric, Irina Antonijevic, Gregory H. Bailey, John W. Childs, Julia P. Gregory, Michael T. Heffernan, Robert J. Hugin and Kishan C. Mehta.</w:t>
      </w:r>
    </w:p>
    <w:p>
      <w:pPr>
        <w:spacing w:after="0" w:line="121" w:lineRule="exact"/>
        <w:rPr>
          <w:sz w:val="20"/>
          <w:szCs w:val="20"/>
          <w:color w:val="auto"/>
        </w:rPr>
      </w:pPr>
    </w:p>
    <w:p>
      <w:pPr>
        <w:ind w:left="520" w:hanging="514"/>
        <w:spacing w:after="0" w:line="263" w:lineRule="auto"/>
        <w:tabs>
          <w:tab w:leader="none" w:pos="384"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minute book and corporate records of the Company as maintained at its registered office in the British Virgin Islands and on which the Registered Agent's Certificate were prepared are complete and accurate in all material respects, and all minutes and resolutions filed therein represent a complete and accurate record of all meetings of the members and directors (or any committee thereof) (duly convened in accordance with the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280"/>
          </w:cols>
          <w:pgMar w:left="300" w:top="1157" w:right="319" w:bottom="1440" w:gutter="0" w:footer="0" w:header="0"/>
        </w:sectPr>
      </w:pPr>
    </w:p>
    <w:bookmarkStart w:id="64" w:name="page65"/>
    <w:bookmarkEnd w:id="64"/>
    <w:p>
      <w:pPr>
        <w:ind w:left="520"/>
        <w:spacing w:after="0"/>
        <w:rPr>
          <w:sz w:val="20"/>
          <w:szCs w:val="20"/>
          <w:color w:val="auto"/>
        </w:rPr>
      </w:pPr>
      <w:r>
        <w:rPr>
          <w:rFonts w:ascii="Arial" w:cs="Arial" w:eastAsia="Arial" w:hAnsi="Arial"/>
          <w:sz w:val="15"/>
          <w:szCs w:val="15"/>
          <w:color w:val="auto"/>
        </w:rPr>
        <w:t>and Articles) and all resolutions passed at the meetings, or passed by written resolution or consent, as the case may be.</w:t>
      </w:r>
    </w:p>
    <w:p>
      <w:pPr>
        <w:spacing w:after="0" w:line="181" w:lineRule="exact"/>
        <w:rPr>
          <w:sz w:val="20"/>
          <w:szCs w:val="20"/>
          <w:color w:val="auto"/>
        </w:rPr>
      </w:pPr>
    </w:p>
    <w:p>
      <w:pPr>
        <w:ind w:left="300" w:hanging="294"/>
        <w:spacing w:after="0"/>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Company has not created any charges over any of its property or assets.</w:t>
      </w:r>
    </w:p>
    <w:p>
      <w:pPr>
        <w:spacing w:after="0" w:line="181" w:lineRule="exact"/>
        <w:rPr>
          <w:sz w:val="20"/>
          <w:szCs w:val="20"/>
          <w:color w:val="auto"/>
        </w:rPr>
      </w:pPr>
    </w:p>
    <w:p>
      <w:pPr>
        <w:ind w:left="520" w:hanging="514"/>
        <w:spacing w:after="0" w:line="260" w:lineRule="auto"/>
        <w:tabs>
          <w:tab w:leader="none" w:pos="327" w:val="left"/>
        </w:tabs>
        <w:numPr>
          <w:ilvl w:val="0"/>
          <w:numId w:val="63"/>
        </w:numPr>
        <w:rPr>
          <w:rFonts w:ascii="Arial" w:cs="Arial" w:eastAsia="Arial" w:hAnsi="Arial"/>
          <w:sz w:val="15"/>
          <w:szCs w:val="15"/>
          <w:color w:val="auto"/>
        </w:rPr>
      </w:pPr>
      <w:r>
        <w:rPr>
          <w:rFonts w:ascii="Arial" w:cs="Arial" w:eastAsia="Arial" w:hAnsi="Arial"/>
          <w:sz w:val="15"/>
          <w:szCs w:val="15"/>
          <w:color w:val="auto"/>
        </w:rPr>
        <w:t>Prior to, at the time of, and immediately following approval of the transactions the subject of the Registration Statement the Company was, or will be, able to pay its debts as they fell, or fall, due, and the transactions to which the Registration Statement relate will not cause the Company to become unable to pay its debts as they fall due. The Company has entered, or will enter, into the transactions the subject of the Registration Statement for proper value, not with an intention to defraud or wilfully defeat an obligation owed to any creditor and the transactions contemplated thereby do not and will not give any creditor an unfair preference.</w:t>
      </w:r>
    </w:p>
    <w:p>
      <w:pPr>
        <w:spacing w:after="0" w:line="141" w:lineRule="exact"/>
        <w:rPr>
          <w:sz w:val="20"/>
          <w:szCs w:val="20"/>
          <w:color w:val="auto"/>
        </w:rPr>
      </w:pPr>
    </w:p>
    <w:p>
      <w:pPr>
        <w:ind w:left="520" w:hanging="514"/>
        <w:spacing w:after="0" w:line="263" w:lineRule="auto"/>
        <w:tabs>
          <w:tab w:leader="none" w:pos="396" w:val="left"/>
        </w:tabs>
        <w:numPr>
          <w:ilvl w:val="0"/>
          <w:numId w:val="64"/>
        </w:numPr>
        <w:rPr>
          <w:rFonts w:ascii="Arial" w:cs="Arial" w:eastAsia="Arial" w:hAnsi="Arial"/>
          <w:sz w:val="15"/>
          <w:szCs w:val="15"/>
          <w:color w:val="auto"/>
        </w:rPr>
      </w:pPr>
      <w:r>
        <w:rPr>
          <w:rFonts w:ascii="Arial" w:cs="Arial" w:eastAsia="Arial" w:hAnsi="Arial"/>
          <w:sz w:val="15"/>
          <w:szCs w:val="15"/>
          <w:color w:val="auto"/>
        </w:rPr>
        <w:t>Each director of the Company considers the entry by the Company into the transactions as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39" w:lineRule="exact"/>
        <w:rPr>
          <w:rFonts w:ascii="Arial" w:cs="Arial" w:eastAsia="Arial" w:hAnsi="Arial"/>
          <w:sz w:val="15"/>
          <w:szCs w:val="15"/>
          <w:color w:val="auto"/>
        </w:rPr>
      </w:pPr>
    </w:p>
    <w:p>
      <w:pPr>
        <w:ind w:left="520" w:hanging="514"/>
        <w:spacing w:after="0" w:line="270" w:lineRule="auto"/>
        <w:tabs>
          <w:tab w:leader="none" w:pos="373" w:val="left"/>
        </w:tabs>
        <w:numPr>
          <w:ilvl w:val="0"/>
          <w:numId w:val="64"/>
        </w:numPr>
        <w:rPr>
          <w:rFonts w:ascii="Arial" w:cs="Arial" w:eastAsia="Arial" w:hAnsi="Arial"/>
          <w:sz w:val="15"/>
          <w:szCs w:val="15"/>
          <w:color w:val="auto"/>
        </w:rPr>
      </w:pPr>
      <w:r>
        <w:rPr>
          <w:rFonts w:ascii="Arial" w:cs="Arial" w:eastAsia="Arial" w:hAnsi="Arial"/>
          <w:sz w:val="15"/>
          <w:szCs w:val="15"/>
          <w:color w:val="auto"/>
        </w:rPr>
        <w:t>When the Debt Securities have been duly authorised by the Company and when the Debt Securities are signed in facsimile or manually by a director or officer of the Company on behalf of the Company and, if appropriate, authenticated in the manner set forth in a duly authorised, executed and delivered Indenture and delivered against due payment therefor, the Debt Securities will be valid, binding and enforceable obligations of the Company.</w:t>
      </w:r>
    </w:p>
    <w:p>
      <w:pPr>
        <w:spacing w:after="0" w:line="135" w:lineRule="exact"/>
        <w:rPr>
          <w:rFonts w:ascii="Arial" w:cs="Arial" w:eastAsia="Arial" w:hAnsi="Arial"/>
          <w:sz w:val="15"/>
          <w:szCs w:val="15"/>
          <w:color w:val="auto"/>
        </w:rPr>
      </w:pPr>
    </w:p>
    <w:p>
      <w:pPr>
        <w:ind w:left="520" w:hanging="514"/>
        <w:spacing w:after="0" w:line="273" w:lineRule="auto"/>
        <w:tabs>
          <w:tab w:leader="none" w:pos="41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Company has received or will receive cash consideration for the issue of the Shares and any Shares to be issued upon exercise of any of the Securities and none of the Shares were or will be issued for less than par value.</w:t>
      </w:r>
    </w:p>
    <w:p>
      <w:pPr>
        <w:spacing w:after="0" w:line="132" w:lineRule="exact"/>
        <w:rPr>
          <w:rFonts w:ascii="Arial" w:cs="Arial" w:eastAsia="Arial" w:hAnsi="Arial"/>
          <w:sz w:val="15"/>
          <w:szCs w:val="15"/>
          <w:color w:val="auto"/>
        </w:rPr>
      </w:pPr>
    </w:p>
    <w:p>
      <w:pPr>
        <w:ind w:left="380" w:hanging="374"/>
        <w:spacing w:after="0"/>
        <w:tabs>
          <w:tab w:leader="none" w:pos="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Neither the Company nor any of its subsidiaries (if any) has an interest in any land in the British Virgin Islands.</w:t>
      </w:r>
    </w:p>
    <w:p>
      <w:pPr>
        <w:spacing w:after="0" w:line="180" w:lineRule="exact"/>
        <w:rPr>
          <w:rFonts w:ascii="Arial" w:cs="Arial" w:eastAsia="Arial" w:hAnsi="Arial"/>
          <w:sz w:val="15"/>
          <w:szCs w:val="15"/>
          <w:color w:val="auto"/>
        </w:rPr>
      </w:pPr>
    </w:p>
    <w:p>
      <w:pPr>
        <w:ind w:left="520" w:hanging="514"/>
        <w:spacing w:after="0" w:line="270" w:lineRule="auto"/>
        <w:tabs>
          <w:tab w:leader="none" w:pos="463"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the best of my knowledge and belief, having made due inquiry, the Company is not the subject of legal, arbitral, administrative or other proceedings in any jurisdiction. Nor have the Directors and/or the Member taken any steps to have the Company struck off or placed in liquidation, nor have any steps been taken to wind up the Company. Nor has any receiver been appointed over any of the Company's property or assets.</w:t>
      </w:r>
    </w:p>
    <w:p>
      <w:pPr>
        <w:spacing w:after="0" w:line="124" w:lineRule="exact"/>
        <w:rPr>
          <w:rFonts w:ascii="Arial" w:cs="Arial" w:eastAsia="Arial" w:hAnsi="Arial"/>
          <w:sz w:val="15"/>
          <w:szCs w:val="15"/>
          <w:color w:val="auto"/>
        </w:rPr>
      </w:pPr>
    </w:p>
    <w:p>
      <w:pPr>
        <w:ind w:left="380" w:hanging="374"/>
        <w:spacing w:after="0"/>
        <w:tabs>
          <w:tab w:leader="none" w:pos="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Company has at no time had employees.</w:t>
      </w:r>
    </w:p>
    <w:p>
      <w:pPr>
        <w:spacing w:after="0" w:line="180" w:lineRule="exact"/>
        <w:rPr>
          <w:rFonts w:ascii="Arial" w:cs="Arial" w:eastAsia="Arial" w:hAnsi="Arial"/>
          <w:sz w:val="15"/>
          <w:szCs w:val="15"/>
          <w:color w:val="auto"/>
        </w:rPr>
      </w:pPr>
    </w:p>
    <w:p>
      <w:pPr>
        <w:ind w:left="380" w:hanging="374"/>
        <w:spacing w:after="0"/>
        <w:tabs>
          <w:tab w:leader="none" w:pos="380" w:val="left"/>
        </w:tabs>
        <w:numPr>
          <w:ilvl w:val="0"/>
          <w:numId w:val="64"/>
        </w:numPr>
        <w:rPr>
          <w:rFonts w:ascii="Arial" w:cs="Arial" w:eastAsia="Arial" w:hAnsi="Arial"/>
          <w:sz w:val="15"/>
          <w:szCs w:val="15"/>
          <w:color w:val="auto"/>
        </w:rPr>
      </w:pPr>
      <w:r>
        <w:rPr>
          <w:rFonts w:ascii="Arial" w:cs="Arial" w:eastAsia="Arial" w:hAnsi="Arial"/>
          <w:sz w:val="15"/>
          <w:szCs w:val="15"/>
          <w:color w:val="auto"/>
        </w:rPr>
        <w:t>No invitation has been made or will be made by or on behalf of the Company to the public in the British Virgin Islands to subscribe for any of the Shares.</w:t>
      </w:r>
    </w:p>
    <w:p>
      <w:pPr>
        <w:spacing w:after="0" w:line="180" w:lineRule="exact"/>
        <w:rPr>
          <w:rFonts w:ascii="Arial" w:cs="Arial" w:eastAsia="Arial" w:hAnsi="Arial"/>
          <w:sz w:val="15"/>
          <w:szCs w:val="15"/>
          <w:color w:val="auto"/>
        </w:rPr>
      </w:pPr>
    </w:p>
    <w:p>
      <w:pPr>
        <w:ind w:left="520" w:hanging="514"/>
        <w:spacing w:after="0" w:line="288" w:lineRule="auto"/>
        <w:tabs>
          <w:tab w:leader="none" w:pos="41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21" w:lineRule="exact"/>
        <w:rPr>
          <w:rFonts w:ascii="Arial" w:cs="Arial" w:eastAsia="Arial" w:hAnsi="Arial"/>
          <w:sz w:val="15"/>
          <w:szCs w:val="15"/>
          <w:color w:val="auto"/>
        </w:rPr>
      </w:pPr>
    </w:p>
    <w:p>
      <w:pPr>
        <w:ind w:left="520" w:hanging="514"/>
        <w:spacing w:after="0" w:line="273" w:lineRule="auto"/>
        <w:tabs>
          <w:tab w:leader="none" w:pos="397"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Shares to be issued as contemplated by the Registration Statement have been, or will be, duly registered, and will continue to be registered, in the Company's register of members.</w:t>
      </w:r>
    </w:p>
    <w:p>
      <w:pPr>
        <w:spacing w:after="0" w:line="132" w:lineRule="exact"/>
        <w:rPr>
          <w:rFonts w:ascii="Arial" w:cs="Arial" w:eastAsia="Arial" w:hAnsi="Arial"/>
          <w:sz w:val="15"/>
          <w:szCs w:val="15"/>
          <w:color w:val="auto"/>
        </w:rPr>
      </w:pPr>
    </w:p>
    <w:p>
      <w:pPr>
        <w:ind w:left="520" w:hanging="514"/>
        <w:spacing w:after="0" w:line="288" w:lineRule="auto"/>
        <w:tabs>
          <w:tab w:leader="none" w:pos="498"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Shares to be re-sold by the Selling Shareholders pursuant to the Registration Statement have been, or will be, duly registered, and will continue to be registered, in the Company's register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280"/>
          </w:cols>
          <w:pgMar w:left="300" w:top="1157" w:right="319" w:bottom="1440" w:gutter="0" w:footer="0" w:header="0"/>
        </w:sectPr>
      </w:pPr>
    </w:p>
    <w:bookmarkStart w:id="65" w:name="page66"/>
    <w:bookmarkEnd w:id="65"/>
    <w:p>
      <w:pPr>
        <w:ind w:left="520" w:hanging="514"/>
        <w:spacing w:after="0" w:line="288" w:lineRule="auto"/>
        <w:tabs>
          <w:tab w:leader="none" w:pos="4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Company is not a central bank, monetary authority or other sovereign entity of any state and is not a subsidiary, direct or indirect, of any sovereign entity or state.</w:t>
      </w:r>
    </w:p>
    <w:p>
      <w:pPr>
        <w:spacing w:after="0" w:line="121" w:lineRule="exact"/>
        <w:rPr>
          <w:rFonts w:ascii="Arial" w:cs="Arial" w:eastAsia="Arial" w:hAnsi="Arial"/>
          <w:sz w:val="15"/>
          <w:szCs w:val="15"/>
          <w:color w:val="auto"/>
        </w:rPr>
      </w:pPr>
    </w:p>
    <w:p>
      <w:pPr>
        <w:ind w:left="520" w:hanging="514"/>
        <w:spacing w:after="0" w:line="273" w:lineRule="auto"/>
        <w:tabs>
          <w:tab w:leader="none" w:pos="419"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There is no contractual or other prohibition or restriction (other than as arising under British Virgin Islands law) binding on the Company prohibiting or restricting it from entering into and performing its obligations under the Registration Statement.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280"/>
          </w:cols>
          <w:pgMar w:left="300" w:top="1157" w:right="319" w:bottom="1440" w:gutter="0" w:footer="0" w:header="0"/>
        </w:sectPr>
      </w:pPr>
    </w:p>
    <w:bookmarkStart w:id="66" w:name="page67"/>
    <w:bookmarkEnd w:id="66"/>
    <w:p>
      <w:pPr>
        <w:spacing w:after="0" w:line="288" w:lineRule="auto"/>
        <w:rPr>
          <w:sz w:val="20"/>
          <w:szCs w:val="20"/>
          <w:color w:val="auto"/>
        </w:rPr>
      </w:pPr>
      <w:r>
        <w:rPr>
          <w:rFonts w:ascii="Arial" w:cs="Arial" w:eastAsia="Arial" w:hAnsi="Arial"/>
          <w:sz w:val="15"/>
          <w:szCs w:val="15"/>
          <w:color w:val="auto"/>
        </w:rPr>
        <w:t>I confirm that you may continue to rely on this certificate as being true and correct on the day that you issue the Opinion, unless I shall have previously notified you in writing personally to the contrary.</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5"/>
          <w:szCs w:val="15"/>
          <w:color w:val="auto"/>
        </w:rPr>
        <w:t>Signature:</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5"/>
          <w:szCs w:val="15"/>
          <w:color w:val="auto"/>
        </w:rPr>
        <w:t>/s/ Vlad Coric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3810</wp:posOffset>
            </wp:positionV>
            <wp:extent cx="280860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808605" cy="6985"/>
                    </a:xfrm>
                    <a:prstGeom prst="rect">
                      <a:avLst/>
                    </a:prstGeom>
                    <a:noFill/>
                  </pic:spPr>
                </pic:pic>
              </a:graphicData>
            </a:graphic>
          </wp:anchor>
        </w:drawing>
      </w:r>
    </w:p>
    <w:p>
      <w:pPr>
        <w:spacing w:after="0" w:line="115"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15"/>
          <w:szCs w:val="15"/>
          <w:color w:val="auto"/>
        </w:rPr>
        <w:t>Name:</w:t>
      </w:r>
      <w:r>
        <w:rPr>
          <w:sz w:val="20"/>
          <w:szCs w:val="20"/>
          <w:color w:val="auto"/>
        </w:rPr>
        <w:tab/>
      </w:r>
      <w:r>
        <w:rPr>
          <w:rFonts w:ascii="Arial" w:cs="Arial" w:eastAsia="Arial" w:hAnsi="Arial"/>
          <w:sz w:val="15"/>
          <w:szCs w:val="15"/>
          <w:color w:val="auto"/>
        </w:rPr>
        <w:t>Vlad Coric</w:t>
      </w:r>
    </w:p>
    <w:p>
      <w:pPr>
        <w:spacing w:after="0" w:line="106" w:lineRule="exact"/>
        <w:rPr>
          <w:sz w:val="20"/>
          <w:szCs w:val="20"/>
          <w:color w:val="auto"/>
        </w:rPr>
      </w:pPr>
    </w:p>
    <w:p>
      <w:pPr>
        <w:ind w:left="20"/>
        <w:spacing w:after="0"/>
        <w:tabs>
          <w:tab w:leader="none" w:pos="178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280"/>
          </w:cols>
          <w:pgMar w:left="300" w:top="1157" w:right="3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b w:val="1"/>
          <w:bCs w:val="1"/>
          <w:color w:val="auto"/>
        </w:rPr>
        <w:t>Exhibit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color w:val="auto"/>
        </w:rPr>
        <w:t>[Letterhead of Sullivan &amp; Cromwell LLP]</w:t>
      </w:r>
    </w:p>
    <w:p>
      <w:pPr>
        <w:spacing w:after="0" w:line="200" w:lineRule="exact"/>
        <w:rPr>
          <w:sz w:val="20"/>
          <w:szCs w:val="20"/>
          <w:color w:val="auto"/>
        </w:rPr>
      </w:pPr>
    </w:p>
    <w:p>
      <w:pPr>
        <w:spacing w:after="0" w:line="3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auto"/>
        </w:rPr>
        <w:t>May 4, 2026</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Biohaven Ltd.,</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 Biohaven Pharmaceuticals, Inc.,</w:t>
      </w:r>
    </w:p>
    <w:p>
      <w:pPr>
        <w:spacing w:after="0" w:line="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215 Church Street,</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color w:val="auto"/>
        </w:rPr>
        <w:t>New Haven, Connecticut 06510.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90" w:lineRule="exact"/>
        <w:rPr>
          <w:sz w:val="20"/>
          <w:szCs w:val="20"/>
          <w:color w:val="auto"/>
        </w:rPr>
      </w:pPr>
    </w:p>
    <w:p>
      <w:pPr>
        <w:jc w:val="both"/>
        <w:ind w:firstLine="1028"/>
        <w:spacing w:after="0" w:line="255" w:lineRule="auto"/>
        <w:rPr>
          <w:sz w:val="20"/>
          <w:szCs w:val="20"/>
          <w:color w:val="auto"/>
        </w:rPr>
      </w:pPr>
      <w:r>
        <w:rPr>
          <w:rFonts w:ascii="Times New Roman" w:cs="Times New Roman" w:eastAsia="Times New Roman" w:hAnsi="Times New Roman"/>
          <w:sz w:val="17"/>
          <w:szCs w:val="17"/>
          <w:color w:val="auto"/>
        </w:rPr>
        <w:t>In connection with the registration under the Securities Act of 1933 (the “Act”) of (i) common shares, no par value (the “Common Shares”), of Biohaven Ltd., a company formed under the laws of the British Virgin Islands (the “Company”), (ii) preferred shares, no par value (the “Preferred Shares”), of the Company, (iii) depositary shares or depositary receipts representing Preferred Shares (the “Depositary Shares”), (iv) debt securities (the “Debt Securities”) of the Company, (v) warrants (the “Warrants”) of the Company to purchase Debt Securities, Common Shares or Preferred Shares of the Company, (vi) rights (the “Rights”) to purchase Securities (as defined below) of the Company, (vii) purchase contracts (the “Purchase Contracts”) of the Company with respect to Securities of the Company or securities of an unaffiliated entity, and (viii) units (the “Units,” and, together with the Common Shares, the Preferred Shares, the Depositary Shares, the Debt Securities, the Warrants, the Rights and the Purchase Contracts, the “Securities”) of the Company comprised of Securities, pursuant to a Registration Statement on Form S-3 (as amended from time to time, the “Registration Statement”), we, as your counsel, have examined such corporate records, certificates and other documents, and such questions of law, as we have considered necessary or appropriate for the purposes of this opinion.</w:t>
      </w:r>
    </w:p>
    <w:p>
      <w:pPr>
        <w:spacing w:after="0" w:line="14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color w:val="auto"/>
        </w:rPr>
        <w:t>Upon the basis of such examination, it is our opinion that:</w:t>
      </w:r>
    </w:p>
    <w:p>
      <w:pPr>
        <w:spacing w:after="0" w:line="179" w:lineRule="exact"/>
        <w:rPr>
          <w:sz w:val="20"/>
          <w:szCs w:val="20"/>
          <w:color w:val="auto"/>
        </w:rPr>
      </w:pPr>
    </w:p>
    <w:p>
      <w:pPr>
        <w:jc w:val="both"/>
        <w:ind w:firstLine="1034"/>
        <w:spacing w:after="0" w:line="259" w:lineRule="auto"/>
        <w:tabs>
          <w:tab w:leader="none" w:pos="143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Registration Statement has become effective under the Act, the deposit agreements governed by the laws of the State of New York (each, a “Deposit Agreement”) between the Company and the entities selected as depositary (each, a “Depositary”) relating to the relevant Depositary Shares have been duly authorized, executed and delivered, the terms of the Depositary Shares and of their issuance and sale have been duly established in conformity with the Deposit Agreement and applicable law, the Company has deposited Preferred Shares with the Depositary to be represented by such Depositary Shares that are authorized, validly issued, and fully paid, and the Depositary Shares have been duly authorized, executed and authenticated in accordance with the Deposit Agreement and issued and sold as contemplated in the Registration Statement, the basic prospectus included therein and the appropriate prospectus supplement or supplements, the Depositary Shares will constitute valid</w:t>
      </w:r>
    </w:p>
    <w:p>
      <w:pPr>
        <w:sectPr>
          <w:pgSz w:w="11900" w:h="16838" w:orient="portrait"/>
          <w:cols w:equalWidth="0" w:num="1">
            <w:col w:w="11280"/>
          </w:cols>
          <w:pgMar w:left="300" w:top="123" w:right="319" w:bottom="1440" w:gutter="0" w:footer="0" w:header="0"/>
        </w:sectPr>
      </w:pPr>
    </w:p>
    <w:bookmarkStart w:id="68" w:name="page69"/>
    <w:bookmarkEnd w:id="68"/>
    <w:tbl>
      <w:tblPr>
        <w:tblLayout w:type="fixed"/>
        <w:tblInd w:w="20" w:type="dxa"/>
        <w:tblCellMar>
          <w:top w:w="0" w:type="dxa"/>
          <w:left w:w="0" w:type="dxa"/>
          <w:bottom w:w="0" w:type="dxa"/>
          <w:right w:w="0" w:type="dxa"/>
        </w:tblCellMar>
      </w:tblP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Biohaven Ltd.</w:t>
            </w:r>
          </w:p>
        </w:tc>
        <w:tc>
          <w:tcPr>
            <w:tcW w:w="5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and legally binding obligations of the Company and will entitle the persons in whose names such Depositary Shares are registered to the rights specified therein and in the Deposit Agreement, subject to bankruptcy, insolvency, fraudulent transfer, reorganization, moratorium and similar laws of general applicability relating to or affecting creditors’ rights and to general equity principles.</w:t>
      </w:r>
    </w:p>
    <w:p>
      <w:pPr>
        <w:spacing w:after="0" w:line="142" w:lineRule="exact"/>
        <w:rPr>
          <w:sz w:val="20"/>
          <w:szCs w:val="20"/>
          <w:color w:val="auto"/>
        </w:rPr>
      </w:pPr>
    </w:p>
    <w:p>
      <w:pPr>
        <w:jc w:val="both"/>
        <w:ind w:firstLine="1034"/>
        <w:spacing w:after="0" w:line="256" w:lineRule="auto"/>
        <w:tabs>
          <w:tab w:leader="none" w:pos="144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Registration Statement has become effective under the Act, the indenture (the “Indenture”) relating to the relevant Debt Securities has been duly executed and delivered, the terms of the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 or restriction imposed by any court or governmental body having jurisdiction over the Company, and the Debt Securities have been duly authorized, executed and authenticated in accordance with the Indenture and issued and sold as contemplated in the Registration Statement, the basic prospectus included therein and the appropriate prospectus supplement or supplements, the Debt Securities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41" w:lineRule="exact"/>
        <w:rPr>
          <w:rFonts w:ascii="Times New Roman" w:cs="Times New Roman" w:eastAsia="Times New Roman" w:hAnsi="Times New Roman"/>
          <w:sz w:val="17"/>
          <w:szCs w:val="17"/>
          <w:color w:val="auto"/>
        </w:rPr>
      </w:pPr>
    </w:p>
    <w:p>
      <w:pPr>
        <w:jc w:val="both"/>
        <w:ind w:firstLine="1034"/>
        <w:spacing w:after="0" w:line="256" w:lineRule="auto"/>
        <w:tabs>
          <w:tab w:leader="none" w:pos="143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Registration Statement has become effective under the Act, the terms of the warrant agreement under which the Warrants are to be issued (the “Warrant Agreement”) have been duly established and the Warrant Agreement has been duly authorized, executed and delivered by the parties thereto, the terms of the Warrants and of their issuance and sale have been duly established in conformity with the Warrant Agreement and the Warrants have been duly executed and authenticated in accordance with the Warrant Agreement and issued and sold as contemplated by the Registration Statement, and if all the foregoing actions are taken so as not to violate any applicable law or result in a default under or breach of any agreement or instrument binding upon the Company and so as to comply with any requirement or restriction imposed by any court or governmental body having jurisdiction over the Company, the Warrants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52" w:lineRule="exact"/>
        <w:rPr>
          <w:rFonts w:ascii="Times New Roman" w:cs="Times New Roman" w:eastAsia="Times New Roman" w:hAnsi="Times New Roman"/>
          <w:sz w:val="17"/>
          <w:szCs w:val="17"/>
          <w:color w:val="auto"/>
        </w:rPr>
      </w:pPr>
    </w:p>
    <w:p>
      <w:pPr>
        <w:jc w:val="both"/>
        <w:ind w:firstLine="1034"/>
        <w:spacing w:after="0" w:line="259" w:lineRule="auto"/>
        <w:tabs>
          <w:tab w:leader="none" w:pos="14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that the Board of Directors of the Company, after fully informing itself with respect to the rights agreement under which the Rights are to be issued (the “Rights Agreement”) and the Rights and after giving due consideration to all relevant matters, determined that the execution and delivery of the Rights Agreement and the issuance of the Rights thereunder would be in the best interests of the Company and its stockholders, and assuming further that the Rights Agreement has been duly authorized, executed and delivered by the parties to the Rights Agreement, then when the Registration Statement has become effective under the Act and the Securities have been validly issued and sold as contemplated by the Registration Statement, the Rights attributable to the Securities will be validly issued.</w:t>
      </w:r>
    </w:p>
    <w:p>
      <w:pPr>
        <w:sectPr>
          <w:pgSz w:w="11900" w:h="16838" w:orient="portrait"/>
          <w:cols w:equalWidth="0" w:num="1">
            <w:col w:w="11280"/>
          </w:cols>
          <w:pgMar w:left="300" w:top="151" w:right="31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Biohaven Ltd.</w:t>
            </w:r>
          </w:p>
        </w:tc>
        <w:tc>
          <w:tcPr>
            <w:tcW w:w="5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firstLine="1034"/>
        <w:spacing w:after="0" w:line="256" w:lineRule="auto"/>
        <w:tabs>
          <w:tab w:leader="none" w:pos="143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Registration Statement has become effective under the Act, the terms of the governing instruments or agreements under which the Purchase Contracts are to be issued have been duly established and such governing documents have been duly executed and delivered by the parties thereto, the terms of such Purchase Contracts and of their issuance and sale have been duly established in conformity with the applicable governing documents and such Purchase Contracts have been duly executed and authenticated in accordance with the applicable governing documents and issued and sold as contemplated in the Registration Statement, and if all the foregoing actions are taken so as not to violate any applicable law or result in a default under or breach of any agreement or instrument binding upon the Company and so as to comply with any requirement or restriction imposed by any court or governmental body having jurisdiction over the Company, such Purchase Contracts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52" w:lineRule="exact"/>
        <w:rPr>
          <w:rFonts w:ascii="Times New Roman" w:cs="Times New Roman" w:eastAsia="Times New Roman" w:hAnsi="Times New Roman"/>
          <w:sz w:val="17"/>
          <w:szCs w:val="17"/>
          <w:color w:val="auto"/>
        </w:rPr>
      </w:pPr>
    </w:p>
    <w:p>
      <w:pPr>
        <w:jc w:val="both"/>
        <w:ind w:firstLine="1034"/>
        <w:spacing w:after="0" w:line="256" w:lineRule="auto"/>
        <w:tabs>
          <w:tab w:leader="none" w:pos="143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Registration Statement has become effective under the Act, the terms of the unit agreement under which the Units are to be issued (the “Unit Agreement”) have been duly established and the Unit Agreement has been duly executed and delivered by the parties thereto, the terms of the Units and of their issuance and sale have been duly established in conformity with the Unit Agreement and the Units have been duly executed and authenticated in accordance with the Unit Agreement and issued and sold as contemplated in the Registration Statement, and if all the foregoing actions are taken so as not to violate any applicable law or result in a default under or breach of any agreement or instrument binding upon the Company and so as to comply with any requirement or restriction imposed by any court or governmental body having jurisdiction over the Company, the Units will constitute valid and legally binding obligations of the Company, subject to bankruptcy, insolvency, fraudulent transfer, reorganization, moratorium and similar laws of general applicability relating to or affecting creditors’ rights and to general equity principles.</w:t>
      </w:r>
    </w:p>
    <w:p>
      <w:pPr>
        <w:spacing w:after="0" w:line="142" w:lineRule="exact"/>
        <w:rPr>
          <w:sz w:val="20"/>
          <w:szCs w:val="20"/>
          <w:color w:val="auto"/>
        </w:rPr>
      </w:pPr>
    </w:p>
    <w:p>
      <w:pPr>
        <w:jc w:val="both"/>
        <w:ind w:firstLine="1028"/>
        <w:spacing w:after="0" w:line="266" w:lineRule="auto"/>
        <w:rPr>
          <w:sz w:val="20"/>
          <w:szCs w:val="20"/>
          <w:color w:val="auto"/>
        </w:rPr>
      </w:pPr>
      <w:r>
        <w:rPr>
          <w:rFonts w:ascii="Times New Roman" w:cs="Times New Roman" w:eastAsia="Times New Roman" w:hAnsi="Times New Roman"/>
          <w:sz w:val="17"/>
          <w:szCs w:val="17"/>
          <w:color w:val="auto"/>
        </w:rPr>
        <w:t>In connection with our opinion set forth in paragraph (4) above, we note that the question whether the Board of Directors of the Company might be required to redeem the Rights at some future time will depend upon the facts and circumstances existing at that time and, accordingly, is beyond the scope of such opinion.</w:t>
      </w:r>
    </w:p>
    <w:p>
      <w:pPr>
        <w:spacing w:after="0" w:line="142" w:lineRule="exact"/>
        <w:rPr>
          <w:sz w:val="20"/>
          <w:szCs w:val="20"/>
          <w:color w:val="auto"/>
        </w:rPr>
      </w:pPr>
    </w:p>
    <w:p>
      <w:pPr>
        <w:jc w:val="both"/>
        <w:ind w:firstLine="1028"/>
        <w:spacing w:after="0" w:line="266" w:lineRule="auto"/>
        <w:rPr>
          <w:sz w:val="20"/>
          <w:szCs w:val="20"/>
          <w:color w:val="auto"/>
        </w:rPr>
      </w:pPr>
      <w:r>
        <w:rPr>
          <w:rFonts w:ascii="Times New Roman" w:cs="Times New Roman" w:eastAsia="Times New Roman" w:hAnsi="Times New Roman"/>
          <w:sz w:val="17"/>
          <w:szCs w:val="17"/>
          <w:color w:val="auto"/>
        </w:rPr>
        <w:t>In connection with our opinion set forth in paragraphs (1) through (6) above, we have assumed that at the time of the issuance, sale and delivery of each particular Security, the authorization of the series will not have been modified or rescinded and, with respect to each Security, that such Security will conform to the draft forms of the Securities examined by us.</w:t>
      </w:r>
    </w:p>
    <w:p>
      <w:pPr>
        <w:spacing w:after="0" w:line="132" w:lineRule="exact"/>
        <w:rPr>
          <w:sz w:val="20"/>
          <w:szCs w:val="20"/>
          <w:color w:val="auto"/>
        </w:rPr>
      </w:pPr>
    </w:p>
    <w:p>
      <w:pPr>
        <w:jc w:val="both"/>
        <w:ind w:firstLine="1028"/>
        <w:spacing w:after="0" w:line="265" w:lineRule="auto"/>
        <w:rPr>
          <w:sz w:val="20"/>
          <w:szCs w:val="20"/>
          <w:color w:val="auto"/>
        </w:rPr>
      </w:pPr>
      <w:r>
        <w:rPr>
          <w:rFonts w:ascii="Times New Roman" w:cs="Times New Roman" w:eastAsia="Times New Roman" w:hAnsi="Times New Roman"/>
          <w:sz w:val="17"/>
          <w:szCs w:val="17"/>
          <w:color w:val="auto"/>
        </w:rPr>
        <w:t>In connection with our opinion set forth in paragraphs (1) through (6) above, we have assumed that at the time of the issuance, sale and delivery of each particular Security there will not have occurred any change in law affecting the validity, legally binding character or enforceability of such Security and that the issuance, sale and delivery of such Security, all of the terms of such Security and the performance by the Company of its obligations thereunder will comply with applicable law and with each requirement or restriction imposed by any court or</w:t>
      </w:r>
    </w:p>
    <w:p>
      <w:pPr>
        <w:sectPr>
          <w:pgSz w:w="11900" w:h="16838" w:orient="portrait"/>
          <w:cols w:equalWidth="0" w:num="1">
            <w:col w:w="11280"/>
          </w:cols>
          <w:pgMar w:left="300" w:top="151" w:right="31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Biohaven Ltd.</w:t>
            </w:r>
          </w:p>
        </w:tc>
        <w:tc>
          <w:tcPr>
            <w:tcW w:w="5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governmental body having jurisdiction over the Company and will not result in a default under or a breach of any agreement or instrument then binding upon the Company.</w:t>
      </w:r>
    </w:p>
    <w:p>
      <w:pPr>
        <w:spacing w:after="0" w:line="117" w:lineRule="exact"/>
        <w:rPr>
          <w:sz w:val="20"/>
          <w:szCs w:val="20"/>
          <w:color w:val="auto"/>
        </w:rPr>
      </w:pPr>
    </w:p>
    <w:p>
      <w:pPr>
        <w:jc w:val="both"/>
        <w:ind w:firstLine="1028"/>
        <w:spacing w:after="0" w:line="273" w:lineRule="auto"/>
        <w:rPr>
          <w:sz w:val="20"/>
          <w:szCs w:val="20"/>
          <w:color w:val="auto"/>
        </w:rPr>
      </w:pPr>
      <w:r>
        <w:rPr>
          <w:rFonts w:ascii="Times New Roman" w:cs="Times New Roman" w:eastAsia="Times New Roman" w:hAnsi="Times New Roman"/>
          <w:sz w:val="17"/>
          <w:szCs w:val="17"/>
          <w:color w:val="auto"/>
        </w:rPr>
        <w:t>In connection with our opinion set forth in paragraphs (1) through (6) above, we have assumed with respect to each particular Security that the inclusion of any alternative or additional terms in such Security that are not currently specified in the draft forms of Securities examined by us would not require the Company to obtain any regulatory consent, authorization or approval or make any regulatory filing in order for the Company to issue, sell and deliver such Security.</w:t>
      </w:r>
    </w:p>
    <w:p>
      <w:pPr>
        <w:spacing w:after="0" w:line="125" w:lineRule="exact"/>
        <w:rPr>
          <w:sz w:val="20"/>
          <w:szCs w:val="20"/>
          <w:color w:val="auto"/>
        </w:rPr>
      </w:pPr>
    </w:p>
    <w:p>
      <w:pPr>
        <w:jc w:val="both"/>
        <w:ind w:firstLine="1028"/>
        <w:spacing w:after="0" w:line="259" w:lineRule="auto"/>
        <w:rPr>
          <w:sz w:val="20"/>
          <w:szCs w:val="20"/>
          <w:color w:val="auto"/>
        </w:rPr>
      </w:pPr>
      <w:r>
        <w:rPr>
          <w:rFonts w:ascii="Times New Roman" w:cs="Times New Roman" w:eastAsia="Times New Roman" w:hAnsi="Times New Roman"/>
          <w:sz w:val="17"/>
          <w:szCs w:val="17"/>
          <w:color w:val="auto"/>
        </w:rPr>
        <w:t>We further note that, as of the date of this opinion, a judgment for money in an action based on a Security denominated in a foreign currency or currency unit in a Federal or state court in the United States ordinarily would be enforced in the United States only in United States dollars. The date used to determine the rate of conversion of the foreign currency or currency unit in which a particular Security is denominated into United States dollars will depend upon various factors, including which court renders the judgment. Under Section 27 of the New York Judiciary Law, a state court in the State of New York rendering a judgment on such a Security would be required to render such judgment in the foreign currency or currency unit in which the Security is denominated, and such judgment would be converted into United States dollars at the exchange rate prevailing on the date of entry of the judgment.</w:t>
      </w:r>
    </w:p>
    <w:p>
      <w:pPr>
        <w:spacing w:after="0" w:line="137" w:lineRule="exact"/>
        <w:rPr>
          <w:sz w:val="20"/>
          <w:szCs w:val="20"/>
          <w:color w:val="auto"/>
        </w:rPr>
      </w:pPr>
    </w:p>
    <w:p>
      <w:pPr>
        <w:jc w:val="both"/>
        <w:ind w:firstLine="1028"/>
        <w:spacing w:after="0" w:line="257" w:lineRule="auto"/>
        <w:rPr>
          <w:sz w:val="20"/>
          <w:szCs w:val="20"/>
          <w:color w:val="auto"/>
        </w:rPr>
      </w:pPr>
      <w:r>
        <w:rPr>
          <w:rFonts w:ascii="Times New Roman" w:cs="Times New Roman" w:eastAsia="Times New Roman" w:hAnsi="Times New Roman"/>
          <w:sz w:val="17"/>
          <w:szCs w:val="17"/>
          <w:color w:val="auto"/>
        </w:rPr>
        <w:t>The foregoing opinion is limited to the Federal laws of the United States and the laws of the State of New York, and we are expressing no opinion as to the effect of the laws of any other jurisdiction. In rendering the foregoing opinion, we have assumed, without independent verification, that the Company has been duly formed and is an existing company in good standing under the laws of the British Virgin Islands, that each Security and each governing document under which the Securities are to be issued was or will be duly authorized in accordance with the laws of the British Virgin Islands, duly executed and delivered by the Company insofar as the laws of the British Virgin Islands are concerned and that all corporate action by the Company related to the Securities was or will be duly authorized as a matter of British Virgin Islands law. With respect to all matters of British Virgin Islands law, we note that you have received the opinion, dated the date hereof, of Maples &amp; Calder.</w:t>
      </w:r>
    </w:p>
    <w:p>
      <w:pPr>
        <w:spacing w:after="0" w:line="141" w:lineRule="exact"/>
        <w:rPr>
          <w:sz w:val="20"/>
          <w:szCs w:val="20"/>
          <w:color w:val="auto"/>
        </w:rPr>
      </w:pPr>
    </w:p>
    <w:p>
      <w:pPr>
        <w:jc w:val="both"/>
        <w:ind w:firstLine="1028"/>
        <w:spacing w:after="0" w:line="273" w:lineRule="auto"/>
        <w:rPr>
          <w:sz w:val="20"/>
          <w:szCs w:val="20"/>
          <w:color w:val="auto"/>
        </w:rPr>
      </w:pPr>
      <w:r>
        <w:rPr>
          <w:rFonts w:ascii="Times New Roman" w:cs="Times New Roman" w:eastAsia="Times New Roman" w:hAnsi="Times New Roman"/>
          <w:sz w:val="17"/>
          <w:szCs w:val="17"/>
          <w:color w:val="auto"/>
        </w:rPr>
        <w:t>In rendering the foregoing opinion, we are expressing no opinion as to Federal or state laws relating to fraudulent transfers and we are not passing upon, and assume no responsibility for, any disclosure in the Registration Statement or any related prospectus or other offering material regarding the Company, the Securities or their offering and sale.</w:t>
      </w:r>
    </w:p>
    <w:p>
      <w:pPr>
        <w:spacing w:after="0" w:line="125" w:lineRule="exact"/>
        <w:rPr>
          <w:sz w:val="20"/>
          <w:szCs w:val="20"/>
          <w:color w:val="auto"/>
        </w:rPr>
      </w:pPr>
    </w:p>
    <w:p>
      <w:pPr>
        <w:jc w:val="both"/>
        <w:ind w:firstLine="1028"/>
        <w:spacing w:after="0" w:line="261" w:lineRule="auto"/>
        <w:rPr>
          <w:sz w:val="20"/>
          <w:szCs w:val="20"/>
          <w:color w:val="auto"/>
        </w:rPr>
      </w:pPr>
      <w:r>
        <w:rPr>
          <w:rFonts w:ascii="Times New Roman" w:cs="Times New Roman" w:eastAsia="Times New Roman" w:hAnsi="Times New Roman"/>
          <w:sz w:val="17"/>
          <w:szCs w:val="17"/>
          <w:color w:val="auto"/>
        </w:rPr>
        <w:t>We have relied as to certain factual matters on information obtained from public officials, officers of the Company and other sources believed by us to be responsible, and we have assumed that the Securities and the governing documents under which the Securities are to be issued will have been duly authorized, executed and delivered by all parties thereto other than the Company and that the signatures on documents examined by us are genuine. We have further assumed that the issuance or delivery by the Company of any securities other than the Securities, or of any property, upon exercise or otherwise pursuant to the terms of the Securities will be effected so as not to violate any applicable law or result in a default under or breach of any</w:t>
      </w:r>
    </w:p>
    <w:p>
      <w:pPr>
        <w:sectPr>
          <w:pgSz w:w="11900" w:h="16838" w:orient="portrait"/>
          <w:cols w:equalWidth="0" w:num="1">
            <w:col w:w="11280"/>
          </w:cols>
          <w:pgMar w:left="300" w:top="151" w:right="31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Biohaven Ltd.</w:t>
            </w:r>
          </w:p>
        </w:tc>
        <w:tc>
          <w:tcPr>
            <w:tcW w:w="5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color w:val="auto"/>
        </w:rPr>
        <w:t>agreement or instrument binding on the Company and so as to comply with any requirement or restriction imposed by any court or governmental body having jurisdiction over the Company.</w:t>
      </w:r>
    </w:p>
    <w:p>
      <w:pPr>
        <w:spacing w:after="0" w:line="117" w:lineRule="exact"/>
        <w:rPr>
          <w:sz w:val="20"/>
          <w:szCs w:val="20"/>
          <w:color w:val="auto"/>
        </w:rPr>
      </w:pPr>
    </w:p>
    <w:p>
      <w:pPr>
        <w:jc w:val="both"/>
        <w:ind w:firstLine="1028"/>
        <w:spacing w:after="0" w:line="273"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Registration Statement and to the reference to us under the heading “Validity of Securities” in the prospectus. In giving such consent, we do not thereby admit that we are in the category of persons whose consent is required under Section 7 of the Act.</w:t>
      </w:r>
    </w:p>
    <w:p>
      <w:pPr>
        <w:spacing w:after="0" w:line="1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3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/s/ SULLIVAN &amp; CROMWELL LLP</w:t>
      </w:r>
    </w:p>
    <w:p>
      <w:pPr>
        <w:sectPr>
          <w:pgSz w:w="11900" w:h="16838" w:orient="portrait"/>
          <w:cols w:equalWidth="0" w:num="1">
            <w:col w:w="11280"/>
          </w:cols>
          <w:pgMar w:left="300" w:top="151"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4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S-3) and related Prospectus of Biohaven Ltd. for the registration of its common shares, preferred shares, depositary shares, debt securities, warrants, rights, purchase contracts and units and to the incorporation by reference therein of our reports dated March 2, 2026, with respect to the consolidated financial statements of Biohaven Ltd., and the effectiveness of internal control over financial reporting of Biohaven Ltd., included in its Annual Report (Form 10-K) for the year ended December 31, 2025, filed with the Securities and Exchange Commission.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Stamford, Connecticut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4, 2026</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lowerLetter"/>
      <w:start w:val="4"/>
    </w:lvl>
    <w:lvl w:ilvl="1">
      <w:lvlJc w:val="left"/>
      <w:lvlText w:val="%2."/>
      <w:numFmt w:val="lowerRoman"/>
      <w:start w:val="1"/>
    </w:lvl>
  </w:abstractNum>
  <w:abstractNum w:abstractNumId="8">
    <w:nsid w:val="2463B9EA"/>
    <w:multiLevelType w:val="hybridMultilevel"/>
    <w:lvl w:ilvl="0">
      <w:lvlJc w:val="left"/>
      <w:lvlText w:val="%1."/>
      <w:numFmt w:val="lowerLetter"/>
      <w:start w:val="1"/>
    </w:lvl>
  </w:abstractNum>
  <w:abstractNum w:abstractNumId="9">
    <w:nsid w:val="5E884ADC"/>
    <w:multiLevelType w:val="hybridMultilevel"/>
    <w:lvl w:ilvl="0">
      <w:lvlJc w:val="left"/>
      <w:lvlText w:val="%1"/>
      <w:numFmt w:val="decimal"/>
      <w:start w:val="20"/>
    </w:lvl>
    <w:lvl w:ilvl="1">
      <w:lvlJc w:val="left"/>
      <w:lvlText w:val="%2."/>
      <w:numFmt w:val="lowerLetter"/>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07"/>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decimal"/>
      <w:start w:val="1"/>
    </w:lvl>
    <w:lvl w:ilvl="1">
      <w:lvlJc w:val="left"/>
      <w:lvlText w:val="(%2)"/>
      <w:numFmt w:val="lowerRoman"/>
      <w:start w:val="1"/>
    </w:lvl>
  </w:abstractNum>
  <w:abstractNum w:abstractNumId="38">
    <w:nsid w:val="520EEDD1"/>
    <w:multiLevelType w:val="hybridMultilevel"/>
    <w:lvl w:ilvl="0">
      <w:lvlJc w:val="left"/>
      <w:lvlText w:val="(%1)"/>
      <w:numFmt w:val="lowerRoman"/>
      <w:start w:val="2"/>
    </w:lvl>
  </w:abstractNum>
  <w:abstractNum w:abstractNumId="39">
    <w:nsid w:val="374A3FE6"/>
    <w:multiLevelType w:val="hybridMultilevel"/>
    <w:lvl w:ilvl="0">
      <w:lvlJc w:val="left"/>
      <w:lvlText w:val="(%1)"/>
      <w:numFmt w:val="decimal"/>
      <w:start w:val="2"/>
    </w:lvl>
    <w:lvl w:ilvl="1">
      <w:lvlJc w:val="left"/>
      <w:lvlText w:val="(%2)"/>
      <w:numFmt w:val="lowerRoman"/>
      <w:start w:val="1"/>
    </w:lvl>
  </w:abstractNum>
  <w:abstractNum w:abstractNumId="40">
    <w:nsid w:val="4F4EF005"/>
    <w:multiLevelType w:val="hybridMultilevel"/>
    <w:lvl w:ilvl="0">
      <w:lvlJc w:val="left"/>
      <w:lvlText w:val="%1"/>
      <w:numFmt w:val="decimal"/>
      <w:start w:val="1"/>
    </w:lvl>
    <w:lvl w:ilvl="1">
      <w:lvlJc w:val="left"/>
      <w:lvlText w:val="(%2)"/>
      <w:numFmt w:val="lowerRoman"/>
      <w:start w:val="1"/>
    </w:lvl>
  </w:abstractNum>
  <w:abstractNum w:abstractNumId="41">
    <w:nsid w:val="23F9C13C"/>
    <w:multiLevelType w:val="hybridMultilevel"/>
    <w:lvl w:ilvl="0">
      <w:lvlJc w:val="left"/>
      <w:lvlText w:val="(%1)"/>
      <w:numFmt w:val="decimal"/>
      <w:start w:val="6"/>
    </w:lvl>
    <w:lvl w:ilvl="1">
      <w:lvlJc w:val="left"/>
      <w:lvlText w:val="%2"/>
      <w:numFmt w:val="lowerRoman"/>
      <w:start w:val="1"/>
    </w:lvl>
  </w:abstractNum>
  <w:abstractNum w:abstractNumId="42">
    <w:nsid w:val="649BB77C"/>
    <w:multiLevelType w:val="hybridMultilevel"/>
    <w:lvl w:ilvl="0">
      <w:lvlJc w:val="left"/>
      <w:lvlText w:val="(%1)"/>
      <w:numFmt w:val="lowerRoman"/>
      <w:start w:val="2"/>
    </w:lvl>
  </w:abstractNum>
  <w:abstractNum w:abstractNumId="43">
    <w:nsid w:val="275AC794"/>
    <w:multiLevelType w:val="hybridMultilevel"/>
    <w:lvl w:ilvl="0">
      <w:lvlJc w:val="left"/>
      <w:lvlText w:val="1"/>
      <w:numFmt w:val="bullet"/>
      <w:start w:val="1"/>
    </w:lvl>
  </w:abstractNum>
  <w:abstractNum w:abstractNumId="44">
    <w:nsid w:val="39386575"/>
    <w:multiLevelType w:val="hybridMultilevel"/>
    <w:lvl w:ilvl="0">
      <w:lvlJc w:val="left"/>
      <w:lvlText w:val="2"/>
      <w:numFmt w:val="bullet"/>
      <w:start w:val="1"/>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Letter"/>
      <w:start w:val="1"/>
    </w:lvl>
  </w:abstractNum>
  <w:abstractNum w:abstractNumId="47">
    <w:nsid w:val="235BA861"/>
    <w:multiLevelType w:val="hybridMultilevel"/>
    <w:lvl w:ilvl="0">
      <w:lvlJc w:val="left"/>
      <w:lvlText w:val="(%1)"/>
      <w:numFmt w:val="lowerLetter"/>
      <w:start w:val="1"/>
    </w:lvl>
  </w:abstractNum>
  <w:abstractNum w:abstractNumId="48">
    <w:nsid w:val="47398C89"/>
    <w:multiLevelType w:val="hybridMultilevel"/>
    <w:lvl w:ilvl="0">
      <w:lvlJc w:val="left"/>
      <w:lvlText w:val="3"/>
      <w:numFmt w:val="bullet"/>
      <w:start w:val="1"/>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lowerRoman"/>
      <w:start w:val="3"/>
    </w:lvl>
  </w:abstractNum>
  <w:abstractNum w:abstractNumId="51">
    <w:nsid w:val="741226BB"/>
    <w:multiLevelType w:val="hybridMultilevel"/>
    <w:lvl w:ilvl="0">
      <w:lvlJc w:val="left"/>
      <w:lvlText w:val="4"/>
      <w:numFmt w:val="bullet"/>
      <w:start w:val="1"/>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lowerLetter"/>
      <w:start w:val="9"/>
    </w:lvl>
  </w:abstractNum>
  <w:abstractNum w:abstractNumId="54">
    <w:nsid w:val="3F6AB60F"/>
    <w:multiLevelType w:val="hybridMultilevel"/>
    <w:lvl w:ilvl="0">
      <w:lvlJc w:val="left"/>
      <w:lvlText w:val="1"/>
      <w:numFmt w:val="bullet"/>
      <w:start w:val="1"/>
    </w:lvl>
  </w:abstractNum>
  <w:abstractNum w:abstractNumId="55">
    <w:nsid w:val="61574095"/>
    <w:multiLevelType w:val="hybridMultilevel"/>
    <w:lvl w:ilvl="0">
      <w:lvlJc w:val="left"/>
      <w:lvlText w:val="2"/>
      <w:numFmt w:val="bullet"/>
      <w:start w:val="1"/>
    </w:lvl>
  </w:abstractNum>
  <w:abstractNum w:abstractNumId="56">
    <w:nsid w:val="7E0C57B1"/>
    <w:multiLevelType w:val="hybridMultilevel"/>
    <w:lvl w:ilvl="0">
      <w:lvlJc w:val="left"/>
      <w:lvlText w:val="3"/>
      <w:numFmt w:val="bullet"/>
      <w:start w:val="1"/>
    </w:lvl>
  </w:abstractNum>
  <w:abstractNum w:abstractNumId="57">
    <w:nsid w:val="77AE35EB"/>
    <w:multiLevelType w:val="hybridMultilevel"/>
    <w:lvl w:ilvl="0">
      <w:lvlJc w:val="left"/>
      <w:lvlText w:val="4"/>
      <w:numFmt w:val="bullet"/>
      <w:start w:val="1"/>
    </w:lvl>
  </w:abstractNum>
  <w:abstractNum w:abstractNumId="58">
    <w:nsid w:val="579BE4F1"/>
    <w:multiLevelType w:val="hybridMultilevel"/>
    <w:lvl w:ilvl="0">
      <w:lvlJc w:val="left"/>
      <w:lvlText w:val="5"/>
      <w:numFmt w:val="bullet"/>
      <w:start w:val="1"/>
    </w:lvl>
  </w:abstractNum>
  <w:abstractNum w:abstractNumId="59">
    <w:nsid w:val="310C50B3"/>
    <w:multiLevelType w:val="hybridMultilevel"/>
    <w:lvl w:ilvl="0">
      <w:lvlJc w:val="left"/>
      <w:lvlText w:val="6"/>
      <w:numFmt w:val="bullet"/>
      <w:start w:val="1"/>
    </w:lvl>
  </w:abstractNum>
  <w:abstractNum w:abstractNumId="60">
    <w:nsid w:val="5FF87E05"/>
    <w:multiLevelType w:val="hybridMultilevel"/>
    <w:lvl w:ilvl="0">
      <w:lvlJc w:val="left"/>
      <w:lvlText w:val="7"/>
      <w:numFmt w:val="bullet"/>
      <w:start w:val="1"/>
    </w:lvl>
  </w:abstractNum>
  <w:abstractNum w:abstractNumId="61">
    <w:nsid w:val="2F305DEF"/>
    <w:multiLevelType w:val="hybridMultilevel"/>
    <w:lvl w:ilvl="0">
      <w:lvlJc w:val="left"/>
      <w:lvlText w:val="8"/>
      <w:numFmt w:val="bullet"/>
      <w:start w:val="1"/>
    </w:lvl>
  </w:abstractNum>
  <w:abstractNum w:abstractNumId="62">
    <w:nsid w:val="25A70BF7"/>
    <w:multiLevelType w:val="hybridMultilevel"/>
    <w:lvl w:ilvl="0">
      <w:lvlJc w:val="left"/>
      <w:lvlText w:val="9"/>
      <w:numFmt w:val="bullet"/>
      <w:start w:val="1"/>
    </w:lvl>
  </w:abstractNum>
  <w:abstractNum w:abstractNumId="63">
    <w:nsid w:val="1DBABF00"/>
    <w:multiLevelType w:val="hybridMultilevel"/>
    <w:lvl w:ilvl="0">
      <w:lvlJc w:val="left"/>
      <w:lvlText w:val="%1"/>
      <w:numFmt w:val="decimal"/>
      <w:start w:val="10"/>
    </w:lvl>
  </w:abstractNum>
  <w:abstractNum w:abstractNumId="64">
    <w:nsid w:val="4AD084E9"/>
    <w:multiLevelType w:val="hybridMultilevel"/>
    <w:lvl w:ilvl="0">
      <w:lvlJc w:val="left"/>
      <w:lvlText w:val="%1"/>
      <w:numFmt w:val="decimal"/>
      <w:start w:val="20"/>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2"/>
    </w:lvl>
  </w:abstractNum>
  <w:abstractNum w:abstractNumId="67">
    <w:nsid w:val="5DB70AE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9.png"/><Relationship Id="rId21" Type="http://schemas.openxmlformats.org/officeDocument/2006/relationships/hyperlink" Target="https://www.sec.gov/ix?doc=/Archives/edgar/data/1935979/000193597926000020/bhvn-20251231.htm" TargetMode="External"/><Relationship Id="rId22" Type="http://schemas.openxmlformats.org/officeDocument/2006/relationships/hyperlink" Target="https://www.sec.gov/ix?doc=/Archives/edgar/data/0001935979/000193597926000045/bhvn-20260331.htm" TargetMode="External"/><Relationship Id="rId23" Type="http://schemas.openxmlformats.org/officeDocument/2006/relationships/hyperlink" Target="https://www.sec.gov/ix?doc=/Archives/edgar/data/1935979/000193597926000002/bhvn-20260106.htm" TargetMode="External"/><Relationship Id="rId24" Type="http://schemas.openxmlformats.org/officeDocument/2006/relationships/hyperlink" Target="https://www.sec.gov/ix?doc=/Archives/edgar/data/0001935979/000193597926000042/bhvn-20260428.htm" TargetMode="External"/><Relationship Id="rId25" Type="http://schemas.openxmlformats.org/officeDocument/2006/relationships/hyperlink" Target="https://www.sec.gov/Archives/edgar/data/1935979/000193597926000020/a2025ex43descriptionofsecu.htm" TargetMode="External"/><Relationship Id="rId31" Type="http://schemas.openxmlformats.org/officeDocument/2006/relationships/hyperlink" Target="https://www.sec.gov/Archives/edgar/data/1935979/000162828022025893/exhibit31-8xk1032022.htm" TargetMode="External"/><Relationship Id="rId32" Type="http://schemas.openxmlformats.org/officeDocument/2006/relationships/hyperlink" Target="https://www.sec.gov/Archives/edgar/data/1935979/000162828023033472/exhibit41-s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2026-05-04T15:36:47Z</dcterms:created>
  <dcterms:modified xsi:type="dcterms:W3CDTF">2026-05-04T15:36:47Z</dcterms:modified>
</cp:coreProperties>
</file>