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May 4, 2026</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Biohaven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001-41477</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780" w:space="720"/>
            <w:col w:w="2720" w:space="720"/>
            <w:col w:w="3300"/>
          </w:cols>
          <w:pgMar w:left="320" w:top="1440" w:right="339" w:bottom="1440" w:gutter="0" w:footer="0" w:header="0"/>
          <w:type w:val="continuous"/>
        </w:sectPr>
      </w:pP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 Biohaven Pharmaceuticals, Inc.</w:t>
      </w:r>
    </w:p>
    <w:p>
      <w:pPr>
        <w:spacing w:after="0" w:line="2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215 Church Street</w:t>
      </w:r>
    </w:p>
    <w:p>
      <w:pPr>
        <w:spacing w:after="0" w:line="1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New Haven, Connecticut 06510</w:t>
      </w:r>
    </w:p>
    <w:p>
      <w:pPr>
        <w:spacing w:after="0" w:line="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(203) 404-0410</w:t>
      </w:r>
    </w:p>
    <w:p>
      <w:pPr>
        <w:spacing w:after="0" w:line="1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9" w:lineRule="exact"/>
        <w:rPr>
          <w:sz w:val="24"/>
          <w:szCs w:val="24"/>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40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BHVN</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On May 4, 2026, Biohaven Ltd.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issued a press release announcing its financial results for the first quarter ended March 31, 2026. A copy of this press release is furnished herewith as Exhibit 99.1 to this Current Report and is incorporated herein by reference.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and Exhibit 99.1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liability of that section, nor shall it be deemed incorporated by reference in any of the Registrant’s filings under the Securities Act of 1933, as amended, or the Exchange Act, whether made before or after the date hereof, regardless of any incorporation language in such a filing, except as expressly set forth by specific reference in such a filing.</w:t>
      </w:r>
    </w:p>
    <w:p>
      <w:pPr>
        <w:spacing w:after="0" w:line="2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40" w:type="dxa"/>
            <w:vAlign w:val="bottom"/>
            <w:gridSpan w:val="2"/>
          </w:tcPr>
          <w:p>
            <w:pPr>
              <w:ind w:left="29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2"/>
        </w:trPr>
        <w:tc>
          <w:tcPr>
            <w:tcW w:w="2240" w:type="dxa"/>
            <w:vAlign w:val="bottom"/>
            <w:tcBorders>
              <w:top w:val="single" w:sz="8" w:color="auto"/>
            </w:tcBorders>
          </w:tcPr>
          <w:p>
            <w:pPr>
              <w:jc w:val="right"/>
              <w:ind w:right="87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8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Press Release, dated May 4, 2026, "Biohaven Reports Recent Business Developments and First Quarter 2026 Financial</w:t>
            </w: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Results."</w:t>
            </w:r>
          </w:p>
        </w:tc>
        <w:tc>
          <w:tcPr>
            <w:tcW w:w="100" w:type="dxa"/>
            <w:vAlign w:val="bottom"/>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 w:lineRule="exact"/>
        <w:rPr>
          <w:sz w:val="20"/>
          <w:szCs w:val="20"/>
          <w:color w:val="auto"/>
        </w:rPr>
      </w:pPr>
    </w:p>
    <w:p>
      <w:pPr>
        <w:ind w:left="2360" w:hanging="1367"/>
        <w:spacing w:after="0"/>
        <w:tabs>
          <w:tab w:leader="none" w:pos="2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this Current Report on Form 8-K formatted as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5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297"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Buten</w:t>
            </w:r>
          </w:p>
        </w:tc>
      </w:tr>
      <w:tr>
        <w:trPr>
          <w:trHeight w:val="218"/>
        </w:trPr>
        <w:tc>
          <w:tcPr>
            <w:tcW w:w="84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Buten</w:t>
            </w:r>
          </w:p>
        </w:tc>
      </w:tr>
      <w:tr>
        <w:trPr>
          <w:trHeight w:val="234"/>
        </w:trPr>
        <w:tc>
          <w:tcPr>
            <w:tcW w:w="84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Biohaven Reports Recent Business Developments and First Quarter 2026 Financial Results</w:t>
      </w:r>
    </w:p>
    <w:p>
      <w:pPr>
        <w:spacing w:after="0" w:line="200" w:lineRule="exact"/>
        <w:rPr>
          <w:sz w:val="20"/>
          <w:szCs w:val="20"/>
          <w:color w:val="auto"/>
        </w:rPr>
      </w:pPr>
    </w:p>
    <w:p>
      <w:pPr>
        <w:spacing w:after="0" w:line="290" w:lineRule="exact"/>
        <w:rPr>
          <w:sz w:val="20"/>
          <w:szCs w:val="20"/>
          <w:color w:val="auto"/>
        </w:rPr>
      </w:pPr>
    </w:p>
    <w:p>
      <w:pPr>
        <w:ind w:left="660" w:right="300" w:hanging="328"/>
        <w:spacing w:after="0" w:line="24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Biohaven to update clinical, regulatory, and operational progress at annual R&amp;D Day at the upcoming Yale Innovation Summit on May 27, 2026.</w:t>
      </w:r>
    </w:p>
    <w:p>
      <w:pPr>
        <w:spacing w:after="0" w:line="1" w:lineRule="exact"/>
        <w:rPr>
          <w:rFonts w:ascii="Times New Roman" w:cs="Times New Roman" w:eastAsia="Times New Roman" w:hAnsi="Times New Roman"/>
          <w:sz w:val="20"/>
          <w:szCs w:val="20"/>
          <w:color w:val="auto"/>
        </w:rPr>
      </w:pPr>
    </w:p>
    <w:p>
      <w:pPr>
        <w:ind w:left="640" w:hanging="308"/>
        <w:spacing w:after="0" w:line="225" w:lineRule="auto"/>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Advancement of high-value, late-stage priority programs:</w:t>
      </w: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Pivotal epilepsy program with selective Kv7 ion channel activator, opakalim, with expected topline results in 2H 2026.</w:t>
      </w:r>
    </w:p>
    <w:p>
      <w:pPr>
        <w:ind w:left="1300" w:right="380" w:hanging="320"/>
        <w:spacing w:after="0" w:line="232" w:lineRule="auto"/>
        <w:tabs>
          <w:tab w:leader="none" w:pos="128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2 obesity study with myostatin-activin pathway inhibitor, taldefgrobep alfa, completed enrollment and topline data expected in 2H 2026.</w:t>
      </w:r>
    </w:p>
    <w:p>
      <w:pPr>
        <w:ind w:left="1300" w:hanging="320"/>
        <w:spacing w:after="0" w:line="225" w:lineRule="auto"/>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TRAP™ and MoDE™ Degraders Advancing to Pivotal Trials</w:t>
      </w:r>
    </w:p>
    <w:p>
      <w:pPr>
        <w:ind w:left="1960" w:right="160" w:hanging="332"/>
        <w:spacing w:after="0" w:line="232" w:lineRule="auto"/>
        <w:tabs>
          <w:tab w:leader="none" w:pos="1949"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Pivotal trials in both IgA nephropathy (IgAN) with Gd-IgA1 TRAP degrader, BHV-1400, and Graves’ disease with IgG MoDE degrader, BHV-1300, expected to initiate by mid-year.</w:t>
      </w:r>
    </w:p>
    <w:p>
      <w:pPr>
        <w:ind w:left="640" w:hanging="308"/>
        <w:spacing w:after="0" w:line="225" w:lineRule="auto"/>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Sustained progress across development pipeline:</w:t>
      </w:r>
    </w:p>
    <w:p>
      <w:pPr>
        <w:ind w:left="1300" w:right="320" w:hanging="320"/>
        <w:spacing w:after="0" w:line="232" w:lineRule="auto"/>
        <w:tabs>
          <w:tab w:leader="none" w:pos="1289" w:val="left"/>
        </w:tabs>
        <w:numPr>
          <w:ilvl w:val="1"/>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Enrollment in Phase 2 early Parkinson’s disease trial with brain-penetrant TYK2/JAK1 inhibitor, BHV-8000, continues to advance.</w:t>
      </w:r>
    </w:p>
    <w:p>
      <w:pPr>
        <w:ind w:left="1300" w:right="460" w:hanging="320"/>
        <w:spacing w:after="0" w:line="232" w:lineRule="auto"/>
        <w:tabs>
          <w:tab w:leader="none" w:pos="128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advances in advanced endometrial cancer expansion cohort with the next-generation TROP-2 directed ADC BHV-1510 in combination with Libtayo.</w:t>
      </w:r>
    </w:p>
    <w:p>
      <w:pPr>
        <w:ind w:left="1300" w:right="640" w:hanging="320"/>
        <w:spacing w:after="0" w:line="232" w:lineRule="auto"/>
        <w:tabs>
          <w:tab w:leader="none" w:pos="128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Dose escalation advances with BHV-1530, a first-in-class FGFR3-directed antibody-drug conjugate (ADC). No dose-limiting toxicities observed to date.</w:t>
      </w:r>
    </w:p>
    <w:p>
      <w:pPr>
        <w:ind w:left="660" w:right="100" w:hanging="328"/>
        <w:spacing w:after="0" w:line="232"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 total of 5 abstracts, including 1 oral presentation and 4 posters, featured at the American Academy of Neurology ("AAN") Annual Meeting</w:t>
      </w:r>
    </w:p>
    <w:p>
      <w:pPr>
        <w:ind w:left="1300" w:right="560" w:hanging="320"/>
        <w:spacing w:after="0" w:line="237" w:lineRule="auto"/>
        <w:tabs>
          <w:tab w:leader="none" w:pos="1289" w:val="left"/>
        </w:tabs>
        <w:numPr>
          <w:ilvl w:val="1"/>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Highlight's Biohaven leadership, innovative science, and development programs evaluating novel therapies to treat neurological and immunological diseases, including Kv7 ion channel activation, extracellular protein degradation, and TYK2/JAK1 inhibition.</w:t>
      </w:r>
    </w:p>
    <w:p>
      <w:pPr>
        <w:spacing w:after="0" w:line="200" w:lineRule="exact"/>
        <w:rPr>
          <w:sz w:val="20"/>
          <w:szCs w:val="20"/>
          <w:color w:val="auto"/>
        </w:rPr>
      </w:pPr>
    </w:p>
    <w:p>
      <w:pPr>
        <w:spacing w:after="0" w:line="24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NEW HAVEN, Conn., May 4, 2026 /PRNewswire/ </w:t>
      </w:r>
      <w:r>
        <w:rPr>
          <w:rFonts w:ascii="Times New Roman" w:cs="Times New Roman" w:eastAsia="Times New Roman" w:hAnsi="Times New Roman"/>
          <w:sz w:val="20"/>
          <w:szCs w:val="20"/>
          <w:color w:val="auto"/>
        </w:rPr>
        <w:t>– Biohaven Ltd. (NYSE: BHVN) (Biohaven or the Company), a global clinical-stage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biopharmaceutical company focused on the discovery, development and commercialization of life-changing therapies to treat a broad range of rare and common diseases, today reported financial results for the first quarter ended March 31, 2026, and provided a review of recent accomplishments and anticipated upcoming developments.</w:t>
      </w:r>
    </w:p>
    <w:p>
      <w:pPr>
        <w:spacing w:after="0" w:line="21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9"/>
          <w:szCs w:val="19"/>
          <w:color w:val="auto"/>
        </w:rPr>
        <w:t xml:space="preserve">Vlad Coric, M.D., Chairman and Chief Executive Officer of </w:t>
      </w:r>
      <w:r>
        <w:rPr>
          <w:rFonts w:ascii="Times New Roman" w:cs="Times New Roman" w:eastAsia="Times New Roman" w:hAnsi="Times New Roman"/>
          <w:sz w:val="19"/>
          <w:szCs w:val="19"/>
          <w:color w:val="002A61"/>
        </w:rPr>
        <w:t>Biohaven</w:t>
      </w:r>
      <w:r>
        <w:rPr>
          <w:rFonts w:ascii="Times New Roman" w:cs="Times New Roman" w:eastAsia="Times New Roman" w:hAnsi="Times New Roman"/>
          <w:sz w:val="19"/>
          <w:szCs w:val="19"/>
          <w:color w:val="auto"/>
        </w:rPr>
        <w:t>, commented, “We are planning for a transformative year ahead at Biohaven, with multiple potential value-driving milestones on the horizon. In the coming several weeks, we expect the initiation of our pivotal clinical trials to advance our novel MoDE and TRAP extracellular protein degradation platform into two pivotal studies, BHV-1300 for Graves’ disease and BHV-1400 for IgA nephropathy. These pivotal trials represent a key milestone for the degrader platform and further extends the clinical validation of our strategy to selectively degrade disease-causing proteins with our precision immunology technology. In the second half of 2026, we expect to report pivotal data from our epilepsy program and topline results from our obesity program.”</w:t>
      </w:r>
    </w:p>
    <w:p>
      <w:pPr>
        <w:spacing w:after="0" w:line="19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Dr. Coric continued, “Additionally, our first-in-class FGFR3-directed ADC, BHV-1530, continues dose escalation with no dose-limiting toxicities observed to date, and we have begun an expansion cohort in advanced endometrial cancer with our next-generation TROP-2 directed ADC BHV-1510 in combination with Libtayo. We are also excited about progress with our TYK2/JAK1 inhibitor for early Parkinson’s disease and continue to advance enrollment in this trial. Finally, our thought leadership in neurology was on display last month at AAN, where we notably delivered a total of 5 oral presentations and posters highlighting our differentiated neuroscience and immunoscience portfolio. Though our approach has been marked by a disciplined and careful management of resources, we are pleased with progress achieved in recent months and look forward to sharing more detailed and robust updates across our portfolio at our annual R&amp;D Day at the Yale Innovation Summit on May 27, 2026 in New Haven, Connecticut.”</w:t>
      </w:r>
    </w:p>
    <w:p>
      <w:pPr>
        <w:sectPr>
          <w:pgSz w:w="11900" w:h="16838" w:orient="portrait"/>
          <w:cols w:equalWidth="0" w:num="1">
            <w:col w:w="11240"/>
          </w:cols>
          <w:pgMar w:left="320" w:top="5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First Quarter and Recent Business Updates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2026 and Recent Business Highlights</w:t>
      </w:r>
    </w:p>
    <w:p>
      <w:pPr>
        <w:spacing w:after="0" w:line="229" w:lineRule="exact"/>
        <w:rPr>
          <w:sz w:val="20"/>
          <w:szCs w:val="20"/>
          <w:color w:val="auto"/>
        </w:rPr>
      </w:pPr>
    </w:p>
    <w:p>
      <w:pPr>
        <w:ind w:left="660" w:right="60" w:hanging="328"/>
        <w:spacing w:after="0" w:line="236"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Completed Enrollment in Phase 2 Obesity Study with Taldefgrobep Alfa – </w:t>
      </w:r>
      <w:r>
        <w:rPr>
          <w:rFonts w:ascii="Times New Roman" w:cs="Times New Roman" w:eastAsia="Times New Roman" w:hAnsi="Times New Roman"/>
          <w:sz w:val="20"/>
          <w:szCs w:val="20"/>
          <w:color w:val="auto"/>
        </w:rPr>
        <w:t>Taldefgrobep alfa, a myostatin-activin pathway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inhibitor, offers the potential to achieve high-quality weight loss in people living with obesity. Biohaven initiated a taldefgrobep Phase 2 proof-of-concept study in obesity in 4Q 2025. This randomized, placebo-controlled dose-ranging study is evaluating the efficacy and tolerability of once-weekly and once-monthly taldefgrobep as monotherapy, via self-administered autoinjector, in adults living with overweight and obesity. Topline data from the study are expected in 2H 2026.</w:t>
      </w:r>
    </w:p>
    <w:p>
      <w:pPr>
        <w:spacing w:after="0" w:line="2" w:lineRule="exact"/>
        <w:rPr>
          <w:rFonts w:ascii="Times New Roman" w:cs="Times New Roman" w:eastAsia="Times New Roman" w:hAnsi="Times New Roman"/>
          <w:sz w:val="20"/>
          <w:szCs w:val="20"/>
          <w:color w:val="auto"/>
        </w:rPr>
      </w:pPr>
    </w:p>
    <w:p>
      <w:pPr>
        <w:ind w:left="660" w:right="20" w:hanging="328"/>
        <w:spacing w:after="0" w:line="237"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Oral and poster presentations at AAN underpinned breadth of development work across core programs </w:t>
      </w:r>
      <w:r>
        <w:rPr>
          <w:rFonts w:ascii="Times New Roman" w:cs="Times New Roman" w:eastAsia="Times New Roman" w:hAnsi="Times New Roman"/>
          <w:sz w:val="20"/>
          <w:szCs w:val="20"/>
          <w:color w:val="auto"/>
        </w:rPr>
        <w:t>- In April 2026,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delivered 1 oral presentation and 4 posters at the AAN Annual Meeting, showcasing development programs including Kv7 ion channel activation, extracellular protein degraders, and TYK2/JAK1 inhibition.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Expected Upcoming Milestones: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Biohaven is well positioned to achieve significant, value-creating milestones in 2026 across numerous programs: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Selective Kv7 Ion Channel Activator (Opakalim):</w:t>
      </w:r>
    </w:p>
    <w:p>
      <w:pPr>
        <w:ind w:left="640" w:hanging="308"/>
        <w:spacing w:after="0" w:line="237"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two Phase 2/3 studies in focal epilepsy; initial topline results for the first study expected in 2H 2026.</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Myostatin-Activin Pathway Inhibitor (Taldefgrobep alfa):</w:t>
      </w:r>
    </w:p>
    <w:p>
      <w:pPr>
        <w:ind w:left="640" w:hanging="308"/>
        <w:spacing w:after="0" w:line="225"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enrollment in Phase 2 study in obesity in 1Q 2026; topline results expected in 2H 2026.</w:t>
      </w:r>
    </w:p>
    <w:p>
      <w:pPr>
        <w:ind w:left="340"/>
        <w:spacing w:after="0"/>
        <w:rPr>
          <w:sz w:val="20"/>
          <w:szCs w:val="20"/>
          <w:color w:val="auto"/>
        </w:rPr>
      </w:pPr>
      <w:r>
        <w:rPr>
          <w:rFonts w:ascii="Times New Roman" w:cs="Times New Roman" w:eastAsia="Times New Roman" w:hAnsi="Times New Roman"/>
          <w:sz w:val="20"/>
          <w:szCs w:val="20"/>
          <w:b w:val="1"/>
          <w:bCs w:val="1"/>
          <w:color w:val="auto"/>
        </w:rPr>
        <w:t>Lead TRAP and MoDE Extracellular Protein Degraders (BHV-1400 and BHV-1300)</w:t>
      </w:r>
    </w:p>
    <w:p>
      <w:pPr>
        <w:ind w:left="640" w:hanging="308"/>
        <w:spacing w:after="0" w:line="225" w:lineRule="auto"/>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BHV-1400: Pivotal study initiation in IgAN study expected mid-year 2026</w:t>
      </w: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BHV-1300: Pivotal study initiation in Graves' disease expected mid-year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Capital Position: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cash equivalents, marketable securities and restricted cash as of March 31, 2026, totaled approximately $351.8 million.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2025 Financial Highlights:</w:t>
      </w:r>
    </w:p>
    <w:p>
      <w:pPr>
        <w:spacing w:after="0" w:line="24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including non-cash share-based compensation costs, were $103.8 million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three months ended March 31, 2026, compared to $187.6 million for the three months ended March 31, 2025. The decrease of $83.8 million was primarily due to decreases in direct program and preclinical spend, and non-cash share-based compensation expense in 2026 as compared to the same period in the prior year. The decrease in direct program spend was largely due to our strategic reprioritization of programs which was implemented in the fourth quarter of 2025. The decrease in R&amp;D expense included a $17.0 million decrease in preclinical research programs, which was primarily due to an upfront share payment valued at $4.9 million and an accrual for an upfront cash payment of $5.0 million related to agreements entered into during the three months ended March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 and Administrative (G&amp;A) Expenses</w:t>
      </w:r>
      <w:r>
        <w:rPr>
          <w:rFonts w:ascii="Times New Roman" w:cs="Times New Roman" w:eastAsia="Times New Roman" w:hAnsi="Times New Roman"/>
          <w:sz w:val="19"/>
          <w:szCs w:val="19"/>
          <w:color w:val="auto"/>
        </w:rPr>
        <w:t>: G&amp;A expenses, including non-cash share-based compensation costs, were $26.6 million for</w:t>
      </w:r>
    </w:p>
    <w:p>
      <w:pPr>
        <w:spacing w:after="0" w:line="24"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the three months ended March 31, 2026, compared to $34.0 million for the three months ended March 31, 2025. The decrease of $7.4 million was primarily due to decreased non-cash share-based compensation expense. Non-cash share-based compensation expense was $9.8 million</w:t>
      </w:r>
    </w:p>
    <w:p>
      <w:pPr>
        <w:spacing w:after="0" w:line="2"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0"/>
          <w:szCs w:val="20"/>
          <w:color w:val="auto"/>
        </w:rPr>
        <w:t>for the three months ended March 31, 2026, a decrease of $8.0 million as compared to the same period in 2025. Non-cash share-based compensation expense was lower in 2026 primarily due to our annual equity incentive awards granted in the first quarter of 2026, which had a lower grant date fair value per share than the annual awards granted in the first quarter of 2025.</w:t>
      </w:r>
    </w:p>
    <w:p>
      <w:pPr>
        <w:spacing w:after="0" w:line="185"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Other (Expense) Income, Net: </w:t>
      </w:r>
      <w:r>
        <w:rPr>
          <w:rFonts w:ascii="Times New Roman" w:cs="Times New Roman" w:eastAsia="Times New Roman" w:hAnsi="Times New Roman"/>
          <w:sz w:val="20"/>
          <w:szCs w:val="20"/>
          <w:color w:val="auto"/>
        </w:rPr>
        <w:t>Other (expense) income, net was other expense, net of $0.2 million for the three months ended March 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2026, compared to other income, net of $0.5 million for the three months ended March 31, 2025. The decrease of $0.3 million was primarily due to non-cash losses related to changes in fair value of our</w:t>
      </w:r>
    </w:p>
    <w:p>
      <w:pPr>
        <w:sectPr>
          <w:pgSz w:w="11900" w:h="16838" w:orient="portrait"/>
          <w:cols w:equalWidth="0" w:num="1">
            <w:col w:w="11220"/>
          </w:cols>
          <w:pgMar w:left="320" w:top="5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notes payable liability under the Note Purchase Agreement with Beetlejuice SA LLC, an affiliate of Oberland Capital Management LLC,</w:t>
      </w:r>
    </w:p>
    <w:p>
      <w:pPr>
        <w:spacing w:after="0" w:line="8"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entered into during the second quarter of 2025 (the NPA), and decreased investment income during the three months ended March 31, 2026, which was partially offset by losses recorded for the non-cash changes in the fair value of our forward contracts and derivative liabilities in</w:t>
      </w:r>
    </w:p>
    <w:p>
      <w:pPr>
        <w:spacing w:after="0" w:line="2"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20"/>
          <w:szCs w:val="20"/>
          <w:color w:val="auto"/>
        </w:rPr>
        <w:t>connection with the amendment to our Membership Interest Purchase Agreement with Knopp Biosciences LLC in May 2024 (the Knopp Amendment) during the three months ended March 31, 2025.</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Net Loss: </w:t>
      </w:r>
      <w:r>
        <w:rPr>
          <w:rFonts w:ascii="Times New Roman" w:cs="Times New Roman" w:eastAsia="Times New Roman" w:hAnsi="Times New Roman"/>
          <w:sz w:val="19"/>
          <w:szCs w:val="19"/>
          <w:color w:val="auto"/>
        </w:rPr>
        <w:t>Biohaven reported a net loss for the three months ended March 31, 2026 of $130.5 million, or $0.88 per share, compared to $221.7</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million, or $2.17 per share, for the same period in 2025. Non-GAAP adjusted net loss for the three months ended March 31, 2026 was $102.2 million, or $0.69 per share, compared to $166.8 million, or $1.64 per share, for the same period in 2025. These non-GAAP adjusted net loss</w:t>
      </w:r>
    </w:p>
    <w:p>
      <w:pPr>
        <w:spacing w:after="0" w:line="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and non-GAAP adjusted net loss per share measures, more fully described below under “Non-GAAP Financial Measures,” exclude non-cash share-based compensation charges and losses from the change in fair value of derivatives. A reconciliation of the GAAP financial results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non-GAAP financial results is included in the tables below.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This news release includes financial results prepared in accordance with accounting principles generally accepted in the United States (GAAP), and certain non-GAAP financial measures. In particular, Biohaven has provided non-GAAP adjusted net loss and adjusted net loss per share, which are adjusted to exclude non-cash share-based compensation, which is substantially dependent on changes in the market price of common shares, and changes in the fair value of derivative liabilities, which do not correlate to actual cash payment obligations in the relevant periods. Non-GAAP financial measures are not an alternative for financial measures prepared in accordance with GAAP. However, Biohaven believes the presentation of non-GAAP adjusted net loss and adjusted net loss per share, when viewed in conjunction with GAAP results, provides investors with a more meaningful understanding of ongoing operating performance and can assist investors in comparing Biohaven's performance between periods.</w:t>
      </w:r>
    </w:p>
    <w:p>
      <w:pPr>
        <w:spacing w:after="0" w:line="21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0"/>
          <w:szCs w:val="20"/>
          <w:color w:val="auto"/>
        </w:rPr>
        <w:t>In addition, these non-GAAP financial measures are among those indicators Biohaven uses as a basis for evaluating performance, and planning and forecasting future periods. These non-GAAP financial measures are not intended to be considered in isolation or as a substitute for GAAP financial measures. A reconciliation between these non-GAAP measures and the most directly comparable GAAP measures is provided later in this news release.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Biohaven</w:t>
      </w:r>
    </w:p>
    <w:p>
      <w:pPr>
        <w:spacing w:after="0" w:line="3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0"/>
          <w:szCs w:val="20"/>
          <w:color w:val="auto"/>
        </w:rPr>
        <w:t>Biohaven is a biopharmaceutical company focused on the discovery, development, and commercialization of life-changing treatments in key therapeutic areas, including immunology, neuroscience, and oncology. The Company is advancing its innovative portfolio of therapeutics, leveraging its proven drug development experience and multiple proprietary drug development platforms. Biohaven's extensive clinical and preclinical programs include Kv7 ion channel modulation for epilepsy; MoDE™ and TRAP™ extracellular protein degradation for immunological diseases; and myostatin inhibition for neuromuscular and metabolic diseases, including obesity.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3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This news release includes forward-looking statements within the meaning of the Private Securities Litigation Reform Act of 1995, including statements regarding the expected timing and amounts of funding under the NPA. The use of certain words, including "continue", "plan", "will", "believe", "may", "expect", "anticipate" and similar expressions, is intended to identify forward-looking statements. Investors are cautioned that any forward-looking statements, including statements regarding the future development, timing and potential marketing approval and commercialization of development candidates and regarding reduction in annual direct R&amp;D spend, are not guarantees of future performance or results and involve substantial risks and uncertainties. Actual results, developments and events may differ materially from those in the forward-looking statements as a result of various factors including: the expected timing, commencement and outcomes of Biohaven's planned and ongoing clinical trials; the timing of planned interactions and filings with the FDA; the timing and outcome of expected regulatory filings; complying with applicable U.S. regulatory requirements; the potential commercialization of Biohaven's product candidates and the expected timing thereof; the potential for Biohaven's product candidates to be successful therapies; the effectiveness of restructuring of business priorities; and the effectiveness and safety of Biohaven's product candidates. Additional important factors to be considered in connection with forward-looking statements are described in Biohaven's filings with the Securities and Exchange Commission, including within the sections titled "Risk Factors" and "Management's Discussion and Analysis of Financial Condition and Results of Operations". The forward-looking statements are made as of the date of this news release, and Biohaven does not undertake any obligation to update any forward-looking statements, whether as a result of new information, future events or otherwise, except as required by law.</w:t>
      </w:r>
    </w:p>
    <w:p>
      <w:pPr>
        <w:sectPr>
          <w:pgSz w:w="11900" w:h="16838" w:orient="portrait"/>
          <w:cols w:equalWidth="0" w:num="1">
            <w:col w:w="11220"/>
          </w:cols>
          <w:pgMar w:left="320" w:top="508" w:right="359" w:bottom="1440" w:gutter="0" w:footer="0" w:header="0"/>
        </w:sectPr>
      </w:pPr>
    </w:p>
    <w:bookmarkStart w:id="6" w:name="page7"/>
    <w:bookmarkEnd w:id="6"/>
    <w:p>
      <w:pPr>
        <w:spacing w:after="0" w:line="244"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BIOHAVEN LTD.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26"/>
        </w:trPr>
        <w:tc>
          <w:tcPr>
            <w:tcW w:w="8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187,584</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221,561</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(221,561)</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(221,068)</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21"/>
        </w:trPr>
        <w:tc>
          <w:tcPr>
            <w:tcW w:w="83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(130,532)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(221,677)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147,615,197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101,943,396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53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BIOHAVEN LTD.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amounts)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6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3"/>
        </w:trPr>
        <w:tc>
          <w:tcPr>
            <w:tcW w:w="7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229,957</w:t>
            </w: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89,180</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47,022</w:t>
            </w:r>
          </w:p>
        </w:tc>
      </w:tr>
      <w:tr>
        <w:trPr>
          <w:trHeight w:val="230"/>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368,329</w:t>
            </w: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15,964</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w:t>
            </w: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47,364</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466,406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451,447</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7"/>
        </w:trPr>
        <w:tc>
          <w:tcPr>
            <w:tcW w:w="7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w:t>
            </w:r>
          </w:p>
        </w:tc>
      </w:tr>
      <w:tr>
        <w:trPr>
          <w:trHeight w:val="229"/>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104,291</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115,934</w:t>
            </w: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39,958</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238,900</w:t>
            </w:r>
          </w:p>
        </w:tc>
      </w:tr>
      <w:tr>
        <w:trPr>
          <w:trHeight w:val="230"/>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399,375</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75"/>
        </w:trPr>
        <w:tc>
          <w:tcPr>
            <w:tcW w:w="75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shares, no par value; 10,000,000 shares authorized, no shares issued and outstanding as</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3"/>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 March 31, 2026 and December 31, 2025</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5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shares, no par value; 200,000,000 shares authorized as of March 31, 2026 and December</w:t>
            </w: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75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31, 2025; 150,506,490 and 132,775,113 shares issued and outstanding as of March 31, 2026 and</w:t>
            </w: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3"/>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2,132,908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1,934,276</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193,984</w:t>
            </w: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(2,084,536)</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52,072</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451,447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3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BIOHAVEN LTD.</w:t>
      </w:r>
    </w:p>
    <w:p>
      <w:pPr>
        <w:spacing w:after="0" w:line="270" w:lineRule="exact"/>
        <w:rPr>
          <w:sz w:val="20"/>
          <w:szCs w:val="20"/>
          <w:color w:val="auto"/>
        </w:rPr>
      </w:pPr>
    </w:p>
    <w:p>
      <w:pPr>
        <w:jc w:val="center"/>
        <w:spacing w:after="0" w:line="428" w:lineRule="auto"/>
        <w:rPr>
          <w:sz w:val="20"/>
          <w:szCs w:val="20"/>
          <w:color w:val="auto"/>
        </w:rPr>
      </w:pPr>
      <w:r>
        <w:rPr>
          <w:rFonts w:ascii="Times New Roman" w:cs="Times New Roman" w:eastAsia="Times New Roman" w:hAnsi="Times New Roman"/>
          <w:sz w:val="20"/>
          <w:szCs w:val="20"/>
          <w:b w:val="1"/>
          <w:bCs w:val="1"/>
          <w:color w:val="auto"/>
        </w:rPr>
        <w:t>RECONCILIATION OF GAAP TO NON-GAAP FINANCIAL MEASURES (Amounts in thousands, except share and per share amounts) (Unaudited)</w:t>
      </w: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5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adjusted net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GAAP 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(130,532)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(221,677)</w:t>
            </w:r>
          </w:p>
        </w:tc>
      </w:tr>
      <w:tr>
        <w:trPr>
          <w:trHeight w:val="229"/>
        </w:trPr>
        <w:tc>
          <w:tcPr>
            <w:tcW w:w="8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 non-cash share-based compensation expense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53,062</w:t>
            </w:r>
          </w:p>
        </w:tc>
      </w:tr>
      <w:tr>
        <w:trPr>
          <w:trHeight w:val="230"/>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Add: loss from change in fair value of derivatives</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48"/>
        </w:trPr>
        <w:tc>
          <w:tcPr>
            <w:tcW w:w="86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Non-GAAP adjusted net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(166,825)</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adjusted net loss per share — basic and diluted: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GAAP net loss per share —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8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 non-cash share-based compensation expense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29"/>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Add: loss from change in fair value of derivatives</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48"/>
        </w:trPr>
        <w:tc>
          <w:tcPr>
            <w:tcW w:w="86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Non-GAAP adjusted net loss per share — basic and diluted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3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color w:val="auto"/>
        </w:rPr>
        <w:t>MoDE and TRAP are trademarks of Biohaven Therapeutics Ltd.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Jennifer Porcelli</w:t>
      </w:r>
    </w:p>
    <w:p>
      <w:pPr>
        <w:spacing w:after="0"/>
        <w:rPr>
          <w:sz w:val="20"/>
          <w:szCs w:val="20"/>
          <w:color w:val="auto"/>
        </w:rPr>
      </w:pPr>
      <w:r>
        <w:rPr>
          <w:rFonts w:ascii="Times New Roman" w:cs="Times New Roman" w:eastAsia="Times New Roman" w:hAnsi="Times New Roman"/>
          <w:sz w:val="20"/>
          <w:szCs w:val="20"/>
          <w:color w:val="auto"/>
        </w:rPr>
        <w:t>Vice President, Investor Relations</w:t>
      </w:r>
    </w:p>
    <w:p>
      <w:pPr>
        <w:spacing w:after="0" w:line="225" w:lineRule="auto"/>
        <w:rPr>
          <w:sz w:val="20"/>
          <w:szCs w:val="20"/>
          <w:color w:val="auto"/>
        </w:rPr>
      </w:pPr>
      <w:r>
        <w:rPr>
          <w:rFonts w:ascii="Times New Roman" w:cs="Times New Roman" w:eastAsia="Times New Roman" w:hAnsi="Times New Roman"/>
          <w:sz w:val="20"/>
          <w:szCs w:val="20"/>
          <w:color w:val="auto"/>
        </w:rPr>
        <w:t>jennifer.porcelli@biohavenpharma.com</w:t>
      </w:r>
    </w:p>
    <w:p>
      <w:pPr>
        <w:spacing w:after="0"/>
        <w:rPr>
          <w:sz w:val="20"/>
          <w:szCs w:val="20"/>
          <w:color w:val="auto"/>
        </w:rPr>
      </w:pPr>
      <w:r>
        <w:rPr>
          <w:rFonts w:ascii="Times New Roman" w:cs="Times New Roman" w:eastAsia="Times New Roman" w:hAnsi="Times New Roman"/>
          <w:sz w:val="20"/>
          <w:szCs w:val="20"/>
          <w:color w:val="auto"/>
        </w:rPr>
        <w:t>+1 (201) 248-0741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37" w:lineRule="auto"/>
        <w:rPr>
          <w:sz w:val="20"/>
          <w:szCs w:val="20"/>
          <w:color w:val="auto"/>
        </w:rPr>
      </w:pPr>
      <w:r>
        <w:rPr>
          <w:rFonts w:ascii="Times New Roman" w:cs="Times New Roman" w:eastAsia="Times New Roman" w:hAnsi="Times New Roman"/>
          <w:sz w:val="20"/>
          <w:szCs w:val="20"/>
          <w:color w:val="auto"/>
        </w:rPr>
        <w:t>Christy Curran</w:t>
      </w:r>
    </w:p>
    <w:p>
      <w:pPr>
        <w:spacing w:after="0"/>
        <w:rPr>
          <w:sz w:val="20"/>
          <w:szCs w:val="20"/>
          <w:color w:val="auto"/>
        </w:rPr>
      </w:pPr>
      <w:r>
        <w:rPr>
          <w:rFonts w:ascii="Times New Roman" w:cs="Times New Roman" w:eastAsia="Times New Roman" w:hAnsi="Times New Roman"/>
          <w:sz w:val="20"/>
          <w:szCs w:val="20"/>
          <w:color w:val="auto"/>
        </w:rPr>
        <w:t>Sam Brown Inc.</w:t>
      </w:r>
    </w:p>
    <w:p>
      <w:pPr>
        <w:spacing w:after="0" w:line="225" w:lineRule="auto"/>
        <w:rPr>
          <w:sz w:val="20"/>
          <w:szCs w:val="20"/>
          <w:color w:val="auto"/>
        </w:rPr>
      </w:pPr>
      <w:r>
        <w:rPr>
          <w:rFonts w:ascii="Times New Roman" w:cs="Times New Roman" w:eastAsia="Times New Roman" w:hAnsi="Times New Roman"/>
          <w:sz w:val="20"/>
          <w:szCs w:val="20"/>
          <w:color w:val="auto"/>
        </w:rPr>
        <w:t>christycurran@sambrown.com</w:t>
      </w:r>
    </w:p>
    <w:p>
      <w:pPr>
        <w:spacing w:after="0"/>
        <w:rPr>
          <w:sz w:val="20"/>
          <w:szCs w:val="20"/>
          <w:color w:val="auto"/>
        </w:rPr>
      </w:pPr>
      <w:r>
        <w:rPr>
          <w:rFonts w:ascii="Times New Roman" w:cs="Times New Roman" w:eastAsia="Times New Roman" w:hAnsi="Times New Roman"/>
          <w:sz w:val="20"/>
          <w:szCs w:val="20"/>
          <w:color w:val="auto"/>
        </w:rPr>
        <w:t>615-414-8668</w:t>
      </w:r>
    </w:p>
    <w:sectPr>
      <w:pgSz w:w="11900" w:h="16838" w:orient="portrait"/>
      <w:cols w:equalWidth="0" w:num="1">
        <w:col w:w="10139"/>
      </w:cols>
      <w:pgMar w:left="320"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2026-05-04T15:17:26Z</dcterms:created>
  <dcterms:modified xsi:type="dcterms:W3CDTF">2026-05-04T15:17:26Z</dcterms:modified>
</cp:coreProperties>
</file>