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May 4,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color w:val="000000"/>
          <w:sz w:val="20"/>
        </w:rPr>
        <w:t>Item 8.01</w:t>
      </w:r>
      <w:r>
        <w:rPr>
          <w:rFonts w:ascii="Times New Roman;serif" w:hAnsi="Times New Roman;serif"/>
          <w:b/>
          <w:color w:val="000000"/>
          <w:sz w:val="20"/>
        </w:rPr>
        <w:t>Other Events.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4, 2026, Biohaven Ltd. (the “Company”) entered into Amendment No. 2 (“Amendment No. 2”) to the Equity Distribution Agreement, dated October 2, 2023 (the “Original Equity Distribution Agreement”), as previously amended by Amendment No. 1, dated August 16, 2024 (“Amendment No. 1” and, together with the Original Equity Distribution Agreement and Amendment No. 2, the “Equity Distribution Agreement”), with J.P. Morgan Securities LLC, as manager (the “Manager”), pursuant to which the Company may sell, from time to time, from and after May 4, 2026, up to an aggregate offering price of $350.0 million of its common shares, without par value (the “Common Shares”), in an “at-the-market” equity offering program through the Manager. Sales of the Common Shares made pursuant to the Equity Distribution Agreement, if any, may be made by means of ordinary brokers’ transactions on the New York Stock Exchange or otherwise at market prices prevailing at the time of sale or negotiated transactions, or as otherwise agreed with the Manager. Actual sales will depend on a variety of factors to be determined by the Company from time to time, including (among others) market conditions, the trading price of the Common Shares, capital needs and determinations by the Company of the appropriate sources of funding for the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Equity Distribution Agreement contains customary representations, warranties and agreements of the Company, conditions to closing, indemnification rights and obligations of the parties and termination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$350.0 million aggregate offering price of Common Shares will be offered and sold pursuant to an effective shelf registration statement (the “Registration Statement”) filed with the Securities and Exchange Commission on May 4, 2026 (File No. 333-295531), a base prospectus, dated May 4, 2026, included as part of the Registration Statement and a prospectus supplement, dated May 4, 2026, filed with the Securities and Exchange Commission pursuant to Rule 424(b) under the Securities Act of 1933, as amended.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Equity Distribution Agreement is not complete and is qualified in its entirety by reference to the full text of the Original Equity Distribution Agreement, Amendment No. 1 and Amendment No. 2, which are Exhibits 1.1, 1.2 and 1.3, respectively, to this Current Report on Form 8-K and are incorporated by reference into this Item 8.01. A copy of the opinion of Maples &amp; Calder relating to the issuance of the Common Shares is filed as Exhibit 5.1 to this Current Report on Form 8-K. Exhibits 1.1, 1.2, 1.3, 5.1 and 23.1 hereto are hereby incorporated by reference into the Registration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 xml:space="preserve">Financial Statements and Exhibits.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41"/>
        <w:gridCol w:w="2691"/>
        <w:gridCol w:w="374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33" w:after="30"/>
              <w:jc w:val="left"/>
              <w:rPr/>
            </w:pPr>
            <w:hyperlink r:id="rId2">
              <w:r>
                <w:rPr>
                  <w:rStyle w:val="InternetLink"/>
                  <w:rFonts w:ascii="Times New Roman;serif" w:hAnsi="Times New Roman;serif"/>
                  <w:b w:val="false"/>
                  <w:color w:val="0000FF"/>
                  <w:sz w:val="20"/>
                  <w:u w:val="single"/>
                </w:rPr>
                <w:t>Equity Distribution Agreement, dated October 2, 2023, by and between Biohaven Ltd. and J.P. Morgan Securities LLC (incorporated by reference to Exhibit 1.1 of the Company’s Current Report on Form 8-K filed on October 3,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33" w:after="30"/>
              <w:jc w:val="left"/>
              <w:rPr/>
            </w:pPr>
            <w:hyperlink r:id="rId3">
              <w:r>
                <w:rPr>
                  <w:rStyle w:val="InternetLink"/>
                  <w:rFonts w:ascii="Times New Roman;serif" w:hAnsi="Times New Roman;serif"/>
                  <w:b w:val="false"/>
                  <w:color w:val="0000FF"/>
                  <w:sz w:val="20"/>
                  <w:u w:val="single"/>
                </w:rPr>
                <w:t>Amendment No. 1 to the Equity Distribution Agreement, dated August 16, 2024, by and between Biohaven Ltd. and J.P. Morgan Securities LLC (incorporated by reference to Exhibit 1.2 to the Company’s Current Report on Form 8-K (Accession No. 0001628280-24-037568) filed on August 16,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33" w:after="30"/>
              <w:jc w:val="left"/>
              <w:rPr/>
            </w:pPr>
            <w:hyperlink w:anchor="exhibit13-8xkmay2026.htm">
              <w:r>
                <w:rPr>
                  <w:rStyle w:val="InternetLink"/>
                  <w:rFonts w:ascii="Times New Roman;serif" w:hAnsi="Times New Roman;serif"/>
                  <w:b w:val="false"/>
                  <w:color w:val="0000FF"/>
                  <w:sz w:val="20"/>
                  <w:u w:val="single"/>
                </w:rPr>
                <w:t>Amendment No. 2 to the Equity Distribution Agreement, dated May 4, 2026, by and between Biohaven Ltd. and J.P. Morgan Securities LLC.</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51-8xkmay2026.htm">
              <w:r>
                <w:rPr>
                  <w:rStyle w:val="InternetLink"/>
                  <w:rFonts w:ascii="Times New Roman;serif" w:hAnsi="Times New Roman;serif"/>
                  <w:b w:val="false"/>
                  <w:color w:val="0000FF"/>
                  <w:sz w:val="20"/>
                  <w:u w:val="single"/>
                </w:rPr>
                <w:t>Opinion of Maples &amp; Calder.</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hibit51-8xkmay2026.htm">
              <w:r>
                <w:rPr>
                  <w:rStyle w:val="InternetLink"/>
                  <w:rFonts w:ascii="Times New Roman;serif" w:hAnsi="Times New Roman;serif"/>
                  <w:b w:val="false"/>
                  <w:color w:val="0000FF"/>
                  <w:sz w:val="20"/>
                  <w:u w:val="single"/>
                </w:rPr>
                <w:t>Consent of Maples &amp; Calder (included in Exhibit 5.1).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 May 5, 2026</w:t>
      </w:r>
    </w:p>
    <w:tbl>
      <w:tblPr>
        <w:tblW w:w="2719" w:type="dxa"/>
        <w:jc w:val="right"/>
        <w:tblInd w:w="0" w:type="dxa"/>
        <w:tblLayout w:type="fixed"/>
        <w:tblCellMar>
          <w:top w:w="28" w:type="dxa"/>
          <w:left w:w="28" w:type="dxa"/>
          <w:bottom w:w="28" w:type="dxa"/>
          <w:right w:w="28" w:type="dxa"/>
        </w:tblCellMar>
      </w:tblPr>
      <w:tblGrid>
        <w:gridCol w:w="236"/>
        <w:gridCol w:w="207"/>
        <w:gridCol w:w="207"/>
        <w:gridCol w:w="599"/>
        <w:gridCol w:w="599"/>
        <w:gridCol w:w="871"/>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71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Vlad Coric</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Vlad Coric, M.D.</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1.3</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BIOHAVEN LTD.</w:t>
      </w:r>
    </w:p>
    <w:p>
      <w:pPr>
        <w:pStyle w:val="TextBody"/>
        <w:bidi w:val="0"/>
        <w:spacing w:lineRule="auto" w:line="288" w:before="0" w:after="3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AMENDMENT NO. 2 TO EQUITY DISTRIBUTION AGREEMENT</w:t>
      </w:r>
    </w:p>
    <w:p>
      <w:pPr>
        <w:pStyle w:val="TextBody"/>
        <w:bidi w:val="0"/>
        <w:spacing w:lineRule="auto" w:line="288" w:before="0" w:after="280"/>
        <w:jc w:val="right"/>
        <w:rPr>
          <w:rFonts w:ascii="Times New Roman;serif" w:hAnsi="Times New Roman;serif"/>
          <w:b w:val="false"/>
          <w:color w:val="000000"/>
          <w:sz w:val="24"/>
        </w:rPr>
      </w:pPr>
      <w:r>
        <w:rPr>
          <w:rFonts w:ascii="Times New Roman;serif" w:hAnsi="Times New Roman;serif"/>
          <w:b w:val="false"/>
          <w:color w:val="000000"/>
          <w:sz w:val="24"/>
        </w:rPr>
        <w:t>May 4,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J.P. Morgan Securities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270 Park Avenue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New York, New York 10017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made to the Equity Distribution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October 2, 2023, as amended by Amendment No. 1 to Equity Distribution Agreement dated August 16, 2024, by and between Biohaven Ltd., a British Virgin Islands business company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J.P. Morgan Securities LLC (the “</w:t>
      </w:r>
      <w:r>
        <w:rPr>
          <w:rFonts w:ascii="Times New Roman;serif" w:hAnsi="Times New Roman;serif"/>
          <w:b/>
          <w:color w:val="000000"/>
          <w:sz w:val="24"/>
        </w:rPr>
        <w:t>Manager</w:t>
      </w:r>
      <w:r>
        <w:rPr>
          <w:color w:val="000000"/>
        </w:rPr>
        <w:t>”</w:t>
      </w:r>
      <w:r>
        <w:rPr>
          <w:rFonts w:ascii="Times New Roman;serif" w:hAnsi="Times New Roman;serif"/>
          <w:b w:val="false"/>
          <w:color w:val="000000"/>
          <w:sz w:val="24"/>
        </w:rPr>
        <w:t xml:space="preserve">). Capitalized terms used but not defined herein shall have the meanings ascribed to such terms in the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connection with the foregoing, the parties hereto wish to amend the Agreement through this Amendment No. 2 to Equity Distribution Agreement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to make certain changes to the Agreement with effect on and after the date hereof (the “</w:t>
      </w:r>
      <w:r>
        <w:rPr>
          <w:rFonts w:ascii="Times New Roman;serif" w:hAnsi="Times New Roman;serif"/>
          <w:b/>
          <w:color w:val="000000"/>
          <w:sz w:val="24"/>
        </w:rPr>
        <w:t>Amendment 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SECTION 1. </w:t>
      </w:r>
      <w:r>
        <w:rPr>
          <w:rFonts w:ascii="Times New Roman;serif" w:hAnsi="Times New Roman;serif"/>
          <w:b w:val="false"/>
          <w:color w:val="000000"/>
          <w:sz w:val="24"/>
          <w:u w:val="single"/>
        </w:rPr>
        <w:t>Amendments to the Agreement</w:t>
      </w:r>
      <w:r>
        <w:rPr>
          <w:rFonts w:ascii="Times New Roman;serif" w:hAnsi="Times New Roman;serif"/>
          <w:b w:val="false"/>
          <w:color w:val="000000"/>
          <w:sz w:val="24"/>
        </w:rPr>
        <w:t>. The parties hereto agree, from and after the Amendment Effective Date,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The reference in the title of the Agreement to “$150,000,000” is hereby amended to refer to “$682,000,000”.</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The preamble to the Agreement is hereby deleted and replaced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Biohaven Ltd., a British Virgin Islands business company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confirms its agreement (as amended by Amendment No. 1 to Equity Distribution Agreement dated August 16, 2024, and Amendment No. 2 to Equity Distribution Agreement dated May 4, 2026,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with J.P. Morgan Securities LLC (the “</w:t>
      </w:r>
      <w:r>
        <w:rPr>
          <w:rFonts w:ascii="Times New Roman;serif" w:hAnsi="Times New Roman;serif"/>
          <w:b/>
          <w:color w:val="000000"/>
          <w:sz w:val="24"/>
        </w:rPr>
        <w:t>Manager</w:t>
      </w:r>
      <w:r>
        <w:rPr>
          <w:color w:val="000000"/>
        </w:rPr>
        <w:t>”</w:t>
      </w:r>
      <w:r>
        <w:rPr>
          <w:rFonts w:ascii="Times New Roman;serif" w:hAnsi="Times New Roman;serif"/>
          <w:b w:val="false"/>
          <w:color w:val="000000"/>
          <w:sz w:val="24"/>
        </w:rPr>
        <w:t>) as follows:”</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The first sentence of Section 1 of the Agreement is hereby deleted and replaced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The Company proposes to issue and sell through or to the Manager, as sales agent and/or principal, common shares, without par value (the “</w:t>
      </w:r>
      <w:r>
        <w:rPr>
          <w:rFonts w:ascii="Times New Roman;serif" w:hAnsi="Times New Roman;serif"/>
          <w:b/>
          <w:color w:val="000000"/>
          <w:sz w:val="24"/>
        </w:rPr>
        <w:t>Common Shares</w:t>
      </w:r>
      <w:r>
        <w:rPr>
          <w:color w:val="000000"/>
        </w:rPr>
        <w:t>”</w:t>
      </w:r>
      <w:r>
        <w:rPr>
          <w:rFonts w:ascii="Times New Roman;serif" w:hAnsi="Times New Roman;serif"/>
          <w:b w:val="false"/>
          <w:color w:val="000000"/>
          <w:sz w:val="24"/>
        </w:rPr>
        <w:t>), of the Company having an aggregate offering price of up to $682,000,000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from time to time during the term of this Agreement and on the terms set forth in Section 3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first sentence of Section 2(b) of the Agreement is hereby deleted and replaced in its entirety to read as follows: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From time to time, the Company may file a new registration statement with respect to the sale of Common Shares hereunder and, prior to requesting the sale of any additional Shares hereunder and at all times during which a prospectus is required by the Act to be delivered (whether physically or through compliance with Rule 172 or any similar rule) in connection with any offer or sale of Shares, shall cause such registration statement to become effective.”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The reference in Section 4(l) of the Agreement to “Locke Lord LLP” shall be changed to “Troutman Pepper Locke LLP”.</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    The definition of “Base Prospectus” in Section 23 of the Agreement is hereby deleted and replaced in its entirety to read as follows:</w:t>
      </w:r>
    </w:p>
    <w:p>
      <w:pPr>
        <w:pStyle w:val="TextBody"/>
        <w:bidi w:val="0"/>
        <w:spacing w:lineRule="auto" w:line="288" w:before="0" w:after="240"/>
        <w:jc w:val="both"/>
        <w:rPr/>
      </w:pPr>
      <w:r>
        <w:rPr>
          <w:color w:val="000000"/>
        </w:rPr>
        <w:t>““</w:t>
      </w:r>
      <w:r>
        <w:rPr>
          <w:rFonts w:ascii="Times New Roman;serif" w:hAnsi="Times New Roman;serif"/>
          <w:b/>
          <w:color w:val="000000"/>
          <w:sz w:val="24"/>
        </w:rPr>
        <w:t>Base Prospectus</w:t>
      </w:r>
      <w:r>
        <w:rPr>
          <w:color w:val="000000"/>
        </w:rPr>
        <w:t xml:space="preserve">” </w:t>
      </w:r>
      <w:r>
        <w:rPr>
          <w:rFonts w:ascii="Times New Roman;serif" w:hAnsi="Times New Roman;serif"/>
          <w:b w:val="false"/>
          <w:color w:val="000000"/>
          <w:sz w:val="24"/>
        </w:rPr>
        <w:t>shall mean the base prospectus referred to in Section 2(a) or Section 2(b), as applicable, contained in the Registration Statement at the time the Registration Statement became effective.”</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    The definition of “Prospectus Supplement” in Section 23 of the Agreement is hereby deleted and replaced in its entirety to read as follows:</w:t>
      </w:r>
    </w:p>
    <w:p>
      <w:pPr>
        <w:pStyle w:val="TextBody"/>
        <w:bidi w:val="0"/>
        <w:spacing w:lineRule="auto" w:line="288" w:before="0" w:after="240"/>
        <w:jc w:val="both"/>
        <w:rPr/>
      </w:pPr>
      <w:r>
        <w:rPr>
          <w:color w:val="000000"/>
        </w:rPr>
        <w:t>““</w:t>
      </w:r>
      <w:r>
        <w:rPr>
          <w:rFonts w:ascii="Times New Roman;serif" w:hAnsi="Times New Roman;serif"/>
          <w:b/>
          <w:color w:val="000000"/>
          <w:sz w:val="24"/>
        </w:rPr>
        <w:t>Prospectus Supplement</w:t>
      </w:r>
      <w:r>
        <w:rPr>
          <w:color w:val="000000"/>
        </w:rPr>
        <w:t xml:space="preserve">” </w:t>
      </w:r>
      <w:r>
        <w:rPr>
          <w:rFonts w:ascii="Times New Roman;serif" w:hAnsi="Times New Roman;serif"/>
          <w:b w:val="false"/>
          <w:color w:val="000000"/>
          <w:sz w:val="24"/>
        </w:rPr>
        <w:t>shall mean (i) the most recent prospectus supplement relating to the Shares that was first filed pursuant to Rule 424(b) at or prior to the Execution Time, (ii) the prospectus supplement relating to the Shares that was filed pursuant to Rule 424(b) on August 16, 2024 and (iii) the prospectus supplement relating to the Shares that was filed pursuant to Rule 424(b) on May 4, 2026.”</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    The first paragraph of the Form of Terms Agreement attached as Annex I of the Agreement is hereby deleted and replaced in its entirety to read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Biohaven Ltd., a British Virgin Islands business company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proposes, subject to the terms and conditions stated herein and in the Equity Distribution Agreement, dated October 2, 2023 (as amended by Amendment No. 1 to Equity Distribution Agreement, dated August 16, 2024, and Amendment No. 2 to Equity Distribution Agreement, dated May 4, 2026, the “</w:t>
      </w:r>
      <w:r>
        <w:rPr>
          <w:rFonts w:ascii="Times New Roman;serif" w:hAnsi="Times New Roman;serif"/>
          <w:b w:val="false"/>
          <w:color w:val="000000"/>
          <w:sz w:val="24"/>
          <w:u w:val="single"/>
        </w:rPr>
        <w:t>Equity Distribution Agreement</w:t>
      </w:r>
      <w:r>
        <w:rPr>
          <w:color w:val="000000"/>
        </w:rPr>
        <w:t>”</w:t>
      </w:r>
      <w:r>
        <w:rPr>
          <w:rFonts w:ascii="Times New Roman;serif" w:hAnsi="Times New Roman;serif"/>
          <w:b w:val="false"/>
          <w:color w:val="000000"/>
          <w:sz w:val="24"/>
        </w:rPr>
        <w:t>), between the Company and J.P. Morgan Securities LLC (“</w:t>
      </w:r>
      <w:r>
        <w:rPr>
          <w:rFonts w:ascii="Times New Roman;serif" w:hAnsi="Times New Roman;serif"/>
          <w:b w:val="false"/>
          <w:color w:val="000000"/>
          <w:sz w:val="24"/>
          <w:u w:val="single"/>
        </w:rPr>
        <w:t>J.P. Morgan</w:t>
      </w:r>
      <w:r>
        <w:rPr>
          <w:color w:val="000000"/>
        </w:rPr>
        <w:t>”</w:t>
      </w:r>
      <w:r>
        <w:rPr>
          <w:rFonts w:ascii="Times New Roman;serif" w:hAnsi="Times New Roman;serif"/>
          <w:b w:val="false"/>
          <w:color w:val="000000"/>
          <w:sz w:val="24"/>
        </w:rPr>
        <w:t>), to issue and sell to [</w:t>
      </w:r>
      <w:r>
        <w:rPr>
          <w:rFonts w:ascii="Times New Roman;serif" w:hAnsi="Times New Roman;serif"/>
          <w:b w:val="false"/>
          <w:i/>
          <w:color w:val="000000"/>
          <w:sz w:val="24"/>
        </w:rPr>
        <w:t>dealer</w:t>
      </w:r>
      <w:r>
        <w:rPr>
          <w:rFonts w:ascii="Times New Roman;serif" w:hAnsi="Times New Roman;serif"/>
          <w:b w:val="false"/>
          <w:color w:val="000000"/>
          <w:sz w:val="24"/>
        </w:rPr>
        <w:t>], the securities specified in Schedule I hereto (the “</w:t>
      </w:r>
      <w:r>
        <w:rPr>
          <w:rFonts w:ascii="Times New Roman;serif" w:hAnsi="Times New Roman;serif"/>
          <w:b w:val="false"/>
          <w:color w:val="000000"/>
          <w:sz w:val="24"/>
          <w:u w:val="single"/>
        </w:rPr>
        <w:t>Purchased Shares</w:t>
      </w:r>
      <w:r>
        <w:rPr>
          <w:color w:val="000000"/>
        </w:rPr>
        <w:t>”</w:t>
      </w:r>
      <w:r>
        <w:rPr>
          <w:rFonts w:ascii="Times New Roman;serif" w:hAnsi="Times New Roman;serif"/>
          <w:b w:val="false"/>
          <w:color w:val="000000"/>
          <w:sz w:val="24"/>
        </w:rPr>
        <w:t>)[, and to grant to J.P. Morgan (the “</w:t>
      </w:r>
      <w:r>
        <w:rPr>
          <w:rFonts w:ascii="Times New Roman;serif" w:hAnsi="Times New Roman;serif"/>
          <w:b w:val="false"/>
          <w:color w:val="000000"/>
          <w:sz w:val="24"/>
          <w:u w:val="single"/>
        </w:rPr>
        <w:t>Manager</w:t>
      </w:r>
      <w:r>
        <w:rPr>
          <w:color w:val="000000"/>
        </w:rPr>
        <w:t>”</w:t>
      </w:r>
      <w:r>
        <w:rPr>
          <w:rFonts w:ascii="Times New Roman;serif" w:hAnsi="Times New Roman;serif"/>
          <w:b w:val="false"/>
          <w:color w:val="000000"/>
          <w:sz w:val="24"/>
        </w:rPr>
        <w:t>) the option to purchase the additional securities specified in Schedule I hereto (the “</w:t>
      </w:r>
      <w:r>
        <w:rPr>
          <w:rFonts w:ascii="Times New Roman;serif" w:hAnsi="Times New Roman;serif"/>
          <w:b w:val="false"/>
          <w:color w:val="000000"/>
          <w:sz w:val="24"/>
          <w:u w:val="single"/>
        </w:rPr>
        <w:t>Additional Shares</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Include only if the Manager has an [over-allotment] option to purchase additional shares</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2. The Company agrees to file with the Commission pursuant to Rule 424(b) under the Securities Act a Prospectus Supplement reflecting this Amendment on the date hereof.</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SECTION 3. </w:t>
      </w:r>
      <w:r>
        <w:rPr>
          <w:rFonts w:ascii="Times New Roman;serif" w:hAnsi="Times New Roman;serif"/>
          <w:b w:val="false"/>
          <w:color w:val="000000"/>
          <w:sz w:val="24"/>
          <w:u w:val="single"/>
        </w:rPr>
        <w:t>No Other Amendments; References to Agreements</w:t>
      </w:r>
      <w:r>
        <w:rPr>
          <w:rFonts w:ascii="Times New Roman;serif" w:hAnsi="Times New Roman;serif"/>
          <w:b w:val="false"/>
          <w:color w:val="000000"/>
          <w:sz w:val="24"/>
        </w:rPr>
        <w:t>. Except as set forth in this Amendment, all other terms and provisions of the Agreement shall continue in full force and effect. All references to the Agreement in the Agreement or in any other document executed or delivered in connection therewith shall, from the date hereof, be deemed a reference to the Agreement as amended by this Amendment. Notwithstanding anything to the contrary contained herein, this Amendment shall not have any effect on offerings or sales of the Securities prior to the Amendment Effective Date or on the terms of the Agreement and the rights and obligations of the parties thereunder, insofar as they relate to such offerings or sales, including, without limitation, the representations, warranties and agreements (including the indemnification and contribution provisions) contained in the Agreement.</w:t>
      </w:r>
    </w:p>
    <w:p>
      <w:pPr>
        <w:pStyle w:val="TextBody"/>
        <w:bidi w:val="0"/>
        <w:spacing w:lineRule="auto" w:line="288" w:before="0" w:after="240"/>
        <w:jc w:val="both"/>
        <w:rPr/>
      </w:pPr>
      <w:r>
        <w:rPr>
          <w:rFonts w:ascii="Times New Roman;serif" w:hAnsi="Times New Roman;serif"/>
          <w:b w:val="false"/>
          <w:color w:val="000000"/>
          <w:sz w:val="24"/>
        </w:rPr>
        <w:t xml:space="preserve">SECTION 4.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This Amendment will be governed by, and construed in accordance with, the internal laws of the State of New York.</w:t>
      </w:r>
    </w:p>
    <w:p>
      <w:pPr>
        <w:pStyle w:val="TextBody"/>
        <w:bidi w:val="0"/>
        <w:spacing w:lineRule="auto" w:line="288" w:before="0" w:after="240"/>
        <w:jc w:val="both"/>
        <w:rPr/>
      </w:pPr>
      <w:r>
        <w:rPr>
          <w:rFonts w:ascii="Times New Roman;serif" w:hAnsi="Times New Roman;serif"/>
          <w:b w:val="false"/>
          <w:color w:val="000000"/>
          <w:sz w:val="24"/>
        </w:rPr>
        <w:t xml:space="preserve">SECTION 5. </w:t>
      </w:r>
      <w:r>
        <w:rPr>
          <w:rFonts w:ascii="Times New Roman;serif" w:hAnsi="Times New Roman;serif"/>
          <w:b w:val="false"/>
          <w:color w:val="000000"/>
          <w:sz w:val="24"/>
          <w:u w:val="single"/>
        </w:rPr>
        <w:t>Submission to Jurisdiction; Appointment of Agent for Service</w:t>
      </w:r>
      <w:r>
        <w:rPr>
          <w:rFonts w:ascii="Times New Roman;serif" w:hAnsi="Times New Roman;serif"/>
          <w:b w:val="false"/>
          <w:color w:val="000000"/>
          <w:sz w:val="24"/>
        </w:rPr>
        <w:t>. The Company irrevocably submits to the non-exclusive jurisdiction of any New York State or United States Federal court sitting in The City of New York over any suit, action or proceeding arising out of or relating to this Amendment (each, a “</w:t>
      </w:r>
      <w:r>
        <w:rPr>
          <w:rFonts w:ascii="Times New Roman;serif" w:hAnsi="Times New Roman;serif"/>
          <w:b/>
          <w:color w:val="000000"/>
          <w:sz w:val="24"/>
        </w:rPr>
        <w:t>Related Proceeding</w:t>
      </w:r>
      <w:r>
        <w:rPr>
          <w:color w:val="000000"/>
        </w:rPr>
        <w:t>”</w:t>
      </w:r>
      <w:r>
        <w:rPr>
          <w:rFonts w:ascii="Times New Roman;serif" w:hAnsi="Times New Roman;serif"/>
          <w:b w:val="false"/>
          <w:color w:val="000000"/>
          <w:sz w:val="24"/>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hereby irrevocably appoints Biohaven Pharmaceuticals, Inc., with offices at 215 Church Street, New Haven, CT 06510,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pStyle w:val="TextBody"/>
        <w:bidi w:val="0"/>
        <w:spacing w:lineRule="auto" w:line="288" w:before="0" w:after="240"/>
        <w:jc w:val="both"/>
        <w:rPr/>
      </w:pPr>
      <w:r>
        <w:rPr>
          <w:rFonts w:ascii="Times New Roman;serif" w:hAnsi="Times New Roman;serif"/>
          <w:b w:val="false"/>
          <w:color w:val="000000"/>
          <w:sz w:val="24"/>
        </w:rPr>
        <w:t xml:space="preserve">SECTION 6.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in this Amendment are for convenience only and shall not affect the construction of this Amendment or the Agreement.</w:t>
      </w:r>
    </w:p>
    <w:p>
      <w:pPr>
        <w:pStyle w:val="TextBody"/>
        <w:bidi w:val="0"/>
        <w:spacing w:lineRule="auto" w:line="288" w:before="0" w:after="240"/>
        <w:jc w:val="both"/>
        <w:rPr/>
      </w:pPr>
      <w:r>
        <w:rPr>
          <w:rFonts w:ascii="Times New Roman;serif" w:hAnsi="Times New Roman;serif"/>
          <w:b w:val="false"/>
          <w:color w:val="000000"/>
          <w:sz w:val="24"/>
        </w:rPr>
        <w:t xml:space="preserve">SECTION 7.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Amendment may be signed in one or more counterparts, (which may include counterparts delivered by any standard form of telecommunication), each of which shall be an original, with the same effect as if the signatures thereto and hereto were upon the same instrument. Counterparts may be delivered via facsimile, electronic mail (including .pdf or any electronic signature complying with the U.S. federal ESIGN Act of 2000, Uniform Electronic Transactions Act or other applicable law) or other transmission method and any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counterpart so delivered will be deemed to have been duly and validly delivered and be valid and effective for all purposes.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foregoing is in accordance with your understanding of our agreement, please sign and return to the Company a counterpart hereof, whereupon this instrument, along with all counterparts, will become a binding agreement by and among the parties hereto in accordance with its terms.</w:t>
      </w:r>
    </w:p>
    <w:tbl>
      <w:tblPr>
        <w:tblW w:w="3761" w:type="dxa"/>
        <w:jc w:val="left"/>
        <w:tblInd w:w="0" w:type="dxa"/>
        <w:tblLayout w:type="fixed"/>
        <w:tblCellMar>
          <w:top w:w="28" w:type="dxa"/>
          <w:left w:w="28" w:type="dxa"/>
          <w:bottom w:w="28" w:type="dxa"/>
          <w:right w:w="28" w:type="dxa"/>
        </w:tblCellMar>
      </w:tblPr>
      <w:tblGrid>
        <w:gridCol w:w="168"/>
        <w:gridCol w:w="148"/>
        <w:gridCol w:w="149"/>
        <w:gridCol w:w="973"/>
        <w:gridCol w:w="973"/>
        <w:gridCol w:w="978"/>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Biohaven Ltd.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Vlad Coric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Vlad Coric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647"/>
        <w:gridCol w:w="568"/>
        <w:gridCol w:w="568"/>
        <w:gridCol w:w="608"/>
        <w:gridCol w:w="608"/>
        <w:gridCol w:w="613"/>
        <w:gridCol w:w="109"/>
        <w:gridCol w:w="109"/>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CONFIRMED AND ACCEPTED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of the date first written above: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J.P. Morgan Securities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Preston Ryman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Preston Ryman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80"/>
        <w:jc w:val="left"/>
        <w:rPr/>
      </w:pPr>
      <w:r>
        <w:rPr/>
        <w:drawing>
          <wp:inline distT="0" distB="0" distL="0" distR="0">
            <wp:extent cx="1143000" cy="11430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4"/>
                    <a:stretch>
                      <a:fillRect/>
                    </a:stretch>
                  </pic:blipFill>
                  <pic:spPr bwMode="auto">
                    <a:xfrm>
                      <a:off x="0" y="0"/>
                      <a:ext cx="1143000" cy="1143000"/>
                    </a:xfrm>
                    <a:prstGeom prst="rect">
                      <a:avLst/>
                    </a:prstGeom>
                  </pic:spPr>
                </pic:pic>
              </a:graphicData>
            </a:graphic>
          </wp:inline>
        </w:drawing>
      </w:r>
    </w:p>
    <w:p>
      <w:pPr>
        <w:pStyle w:val="TextBody"/>
        <w:bidi w:val="0"/>
        <w:spacing w:lineRule="auto" w:line="288" w:before="0" w:after="340"/>
        <w:jc w:val="both"/>
        <w:rPr>
          <w:rFonts w:ascii="Arial;sans-serif" w:hAnsi="Arial;sans-serif"/>
          <w:b w:val="false"/>
          <w:color w:val="000000"/>
          <w:sz w:val="21"/>
        </w:rPr>
      </w:pPr>
      <w:r>
        <w:rPr>
          <w:rFonts w:ascii="Arial;sans-serif" w:hAnsi="Arial;sans-serif"/>
          <w:b w:val="false"/>
          <w:color w:val="000000"/>
          <w:sz w:val="21"/>
        </w:rPr>
        <w:t>Our ref: CHX/806931-000040/43295204v3</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Biohaven Ltd.</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 xml:space="preserve">Kingston Chambers </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P.O. Box 173</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Road Town, Tortola</w:t>
      </w:r>
    </w:p>
    <w:p>
      <w:pPr>
        <w:pStyle w:val="TextBody"/>
        <w:bidi w:val="0"/>
        <w:spacing w:lineRule="auto" w:line="288" w:before="0" w:after="120"/>
        <w:jc w:val="left"/>
        <w:rPr>
          <w:rFonts w:ascii="Arial;sans-serif" w:hAnsi="Arial;sans-serif"/>
          <w:b w:val="false"/>
          <w:color w:val="000000"/>
          <w:sz w:val="21"/>
        </w:rPr>
      </w:pPr>
      <w:r>
        <w:rPr>
          <w:rFonts w:ascii="Arial;sans-serif" w:hAnsi="Arial;sans-serif"/>
          <w:b w:val="false"/>
          <w:color w:val="000000"/>
          <w:sz w:val="21"/>
        </w:rPr>
        <w:t>British Virgin Islands</w:t>
      </w:r>
    </w:p>
    <w:p>
      <w:pPr>
        <w:pStyle w:val="TextBody"/>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4 May 2026</w:t>
      </w:r>
    </w:p>
    <w:p>
      <w:pPr>
        <w:pStyle w:val="TextBody"/>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Dear Sirs</w:t>
      </w:r>
    </w:p>
    <w:p>
      <w:pPr>
        <w:pStyle w:val="TextBody"/>
        <w:bidi w:val="0"/>
        <w:spacing w:lineRule="auto" w:line="288" w:before="0" w:after="120"/>
        <w:jc w:val="left"/>
        <w:rPr>
          <w:rFonts w:ascii="Arial;sans-serif" w:hAnsi="Arial;sans-serif"/>
          <w:b/>
          <w:color w:val="000000"/>
          <w:sz w:val="21"/>
        </w:rPr>
      </w:pPr>
      <w:r>
        <w:rPr>
          <w:rFonts w:ascii="Arial;sans-serif" w:hAnsi="Arial;sans-serif"/>
          <w:b/>
          <w:color w:val="000000"/>
          <w:sz w:val="21"/>
        </w:rPr>
        <w:t>Biohaven Ltd. (the "Company")</w:t>
      </w:r>
    </w:p>
    <w:p>
      <w:pPr>
        <w:pStyle w:val="TextBody"/>
        <w:bidi w:val="0"/>
        <w:spacing w:lineRule="auto" w:line="288" w:before="0" w:after="240"/>
        <w:jc w:val="both"/>
        <w:rPr/>
      </w:pPr>
      <w:r>
        <w:rPr>
          <w:rFonts w:ascii="Arial;sans-serif" w:hAnsi="Arial;sans-serif"/>
          <w:b w:val="false"/>
          <w:color w:val="000000"/>
          <w:sz w:val="21"/>
        </w:rPr>
        <w:t>We have acted as counsel as to British Virgin Islands law to the Company in respect of the proposed issuance of up to US$350,000,000 in aggregate offering price of common shares in the Company with no par value (the "</w:t>
      </w:r>
      <w:r>
        <w:rPr>
          <w:rFonts w:ascii="Arial;sans-serif" w:hAnsi="Arial;sans-serif"/>
          <w:b/>
          <w:color w:val="000000"/>
          <w:sz w:val="21"/>
        </w:rPr>
        <w:t>Shares</w:t>
      </w:r>
      <w:r>
        <w:rPr>
          <w:rFonts w:ascii="Arial;sans-serif" w:hAnsi="Arial;sans-serif"/>
          <w:b w:val="false"/>
          <w:color w:val="000000"/>
          <w:sz w:val="21"/>
        </w:rPr>
        <w:t>") from time to time pursuant to an Equity Distribution Agreement, dated 2 October 2023 between the Company and J.P. Morgan Securities LLC, as amended by Amendment No. 1 dated 16 August 2024 and as further amended by Amendment No. 2 dated 4 May 2026 (the "</w:t>
      </w:r>
      <w:r>
        <w:rPr>
          <w:rFonts w:ascii="Arial;sans-serif" w:hAnsi="Arial;sans-serif"/>
          <w:b/>
          <w:color w:val="000000"/>
          <w:sz w:val="21"/>
        </w:rPr>
        <w:t>Equity Distribution Agreement</w:t>
      </w:r>
      <w:r>
        <w:rPr>
          <w:rFonts w:ascii="Arial;sans-serif" w:hAnsi="Arial;sans-serif"/>
          <w:b w:val="false"/>
          <w:color w:val="000000"/>
          <w:sz w:val="21"/>
        </w:rPr>
        <w:t>"). We have been asked to provide this legal opinion in connection with the Company's registration statement on Form S-3ASR, including all amendments or supplements thereto, including the Prospectus dated 4 May 2026, as supplemented by the Prospectus Supplement dated 4 May 2026 filed with the United States Securities and Exchange Commission (the "</w:t>
      </w:r>
      <w:r>
        <w:rPr>
          <w:rFonts w:ascii="Arial;sans-serif" w:hAnsi="Arial;sans-serif"/>
          <w:b/>
          <w:color w:val="000000"/>
          <w:sz w:val="21"/>
        </w:rPr>
        <w:t>Commission</w:t>
      </w:r>
      <w:r>
        <w:rPr>
          <w:rFonts w:ascii="Arial;sans-serif" w:hAnsi="Arial;sans-serif"/>
          <w:b w:val="false"/>
          <w:color w:val="000000"/>
          <w:sz w:val="21"/>
        </w:rPr>
        <w:t>") under the United States Securities Act of 1933, as amended (the "</w:t>
      </w:r>
      <w:r>
        <w:rPr>
          <w:rFonts w:ascii="Arial;sans-serif" w:hAnsi="Arial;sans-serif"/>
          <w:b/>
          <w:color w:val="000000"/>
          <w:sz w:val="21"/>
        </w:rPr>
        <w:t>SEC Act</w:t>
      </w:r>
      <w:r>
        <w:rPr>
          <w:rFonts w:ascii="Arial;sans-serif" w:hAnsi="Arial;sans-serif"/>
          <w:b w:val="false"/>
          <w:color w:val="000000"/>
          <w:sz w:val="21"/>
        </w:rPr>
        <w:t>") (including its exhibits, the "</w:t>
      </w:r>
      <w:r>
        <w:rPr>
          <w:rFonts w:ascii="Arial;sans-serif" w:hAnsi="Arial;sans-serif"/>
          <w:b/>
          <w:color w:val="000000"/>
          <w:sz w:val="21"/>
        </w:rPr>
        <w:t>Registration Statement</w:t>
      </w:r>
      <w:r>
        <w:rPr>
          <w:rFonts w:ascii="Arial;sans-serif" w:hAnsi="Arial;sans-serif"/>
          <w:b w:val="false"/>
          <w:color w:val="000000"/>
          <w:sz w:val="21"/>
        </w:rPr>
        <w:t>").</w:t>
      </w:r>
    </w:p>
    <w:p>
      <w:pPr>
        <w:pStyle w:val="TextBody"/>
        <w:bidi w:val="0"/>
        <w:spacing w:lineRule="auto" w:line="288" w:before="0" w:after="120"/>
        <w:ind w:left="0" w:right="0" w:hanging="720"/>
        <w:jc w:val="both"/>
        <w:rPr/>
      </w:pPr>
      <w:r>
        <w:rPr>
          <w:rFonts w:ascii="Arial;sans-serif" w:hAnsi="Arial;sans-serif"/>
          <w:b/>
          <w:color w:val="000000"/>
          <w:sz w:val="22"/>
        </w:rPr>
        <w:t>1    </w:t>
      </w:r>
      <w:r>
        <w:rPr>
          <w:rFonts w:ascii="Arial;sans-serif" w:hAnsi="Arial;sans-serif"/>
          <w:b/>
          <w:color w:val="000000"/>
          <w:sz w:val="21"/>
        </w:rPr>
        <w:t>Documents Reviewed</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We have reviewed originals, copies, drafts or conformed copies of the following documents:</w:t>
      </w:r>
    </w:p>
    <w:p>
      <w:pPr>
        <w:pStyle w:val="TextBody"/>
        <w:bidi w:val="0"/>
        <w:spacing w:lineRule="auto" w:line="288" w:before="0" w:after="240"/>
        <w:ind w:left="0" w:right="0" w:hanging="720"/>
        <w:jc w:val="both"/>
        <w:rPr/>
      </w:pPr>
      <w:r>
        <w:rPr>
          <w:rFonts w:ascii="Arial;sans-serif" w:hAnsi="Arial;sans-serif"/>
          <w:b w:val="false"/>
          <w:color w:val="000000"/>
          <w:sz w:val="21"/>
        </w:rPr>
        <w:t>1.1    The public records of the Company on file and available for public inspection at the Registry of Corporate Affairs in the British Virgin Islands (the "</w:t>
      </w:r>
      <w:r>
        <w:rPr>
          <w:rFonts w:ascii="Arial;sans-serif" w:hAnsi="Arial;sans-serif"/>
          <w:b/>
          <w:color w:val="000000"/>
          <w:sz w:val="21"/>
        </w:rPr>
        <w:t>Registry of Corporate Affairs</w:t>
      </w:r>
      <w:r>
        <w:rPr>
          <w:rFonts w:ascii="Arial;sans-serif" w:hAnsi="Arial;sans-serif"/>
          <w:b w:val="false"/>
          <w:color w:val="000000"/>
          <w:sz w:val="21"/>
        </w:rPr>
        <w:t>") on 1 May 2026, including the Company's Certificate of Incorporation and its Memorandum and Articles of Association (the "</w:t>
      </w:r>
      <w:r>
        <w:rPr>
          <w:rFonts w:ascii="Arial;sans-serif" w:hAnsi="Arial;sans-serif"/>
          <w:b/>
          <w:color w:val="000000"/>
          <w:sz w:val="21"/>
        </w:rPr>
        <w:t>Memorandum and Articles</w:t>
      </w:r>
      <w:r>
        <w:rPr>
          <w:rFonts w:ascii="Arial;sans-serif" w:hAnsi="Arial;sans-serif"/>
          <w:b w:val="false"/>
          <w:color w:val="000000"/>
          <w:sz w:val="21"/>
        </w:rPr>
        <w:t>").</w:t>
      </w:r>
    </w:p>
    <w:p>
      <w:pPr>
        <w:pStyle w:val="TextBody"/>
        <w:bidi w:val="0"/>
        <w:spacing w:lineRule="auto" w:line="288" w:before="0" w:after="240"/>
        <w:ind w:left="0" w:right="0" w:hanging="720"/>
        <w:jc w:val="both"/>
        <w:rPr/>
      </w:pPr>
      <w:r>
        <w:rPr>
          <w:rFonts w:ascii="Arial;sans-serif" w:hAnsi="Arial;sans-serif"/>
          <w:b w:val="false"/>
          <w:color w:val="000000"/>
          <w:sz w:val="21"/>
        </w:rPr>
        <w:t>1.2    A list of the Company's directors provided by the Registry of Corporate Affairs dated 1 May 2026 (the "</w:t>
      </w:r>
      <w:r>
        <w:rPr>
          <w:rFonts w:ascii="Arial;sans-serif" w:hAnsi="Arial;sans-serif"/>
          <w:b/>
          <w:color w:val="000000"/>
          <w:sz w:val="21"/>
        </w:rPr>
        <w:t>Registry List of Directors</w:t>
      </w:r>
      <w:r>
        <w:rPr>
          <w:rFonts w:ascii="Arial;sans-serif" w:hAnsi="Arial;sans-serif"/>
          <w:b w:val="false"/>
          <w:color w:val="000000"/>
          <w:sz w:val="21"/>
        </w:rPr>
        <w:t>").</w:t>
      </w:r>
    </w:p>
    <w:p>
      <w:pPr>
        <w:pStyle w:val="TextBody"/>
        <w:bidi w:val="0"/>
        <w:spacing w:lineRule="auto" w:line="288" w:before="0" w:after="240"/>
        <w:ind w:left="0" w:right="0" w:hanging="720"/>
        <w:jc w:val="both"/>
        <w:rPr/>
      </w:pPr>
      <w:r>
        <w:rPr>
          <w:rFonts w:ascii="Arial;sans-serif" w:hAnsi="Arial;sans-serif"/>
          <w:b w:val="false"/>
          <w:color w:val="000000"/>
          <w:sz w:val="21"/>
        </w:rPr>
        <w:t>1.3    The records of proceedings available from a search of the electronic records maintained on the Judicial Enforcement Management System and the E-Litigation Portal from 1 January 2000 and available for inspection on 1 May 2026 at the British Virgin Islands High Court Registry (the "</w:t>
      </w:r>
      <w:r>
        <w:rPr>
          <w:rFonts w:ascii="Arial;sans-serif" w:hAnsi="Arial;sans-serif"/>
          <w:b/>
          <w:color w:val="000000"/>
          <w:sz w:val="21"/>
        </w:rPr>
        <w:t>High Court Registry</w:t>
      </w:r>
      <w:r>
        <w:rPr>
          <w:rFonts w:ascii="Arial;sans-serif" w:hAnsi="Arial;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val="false"/>
          <w:color w:val="000000"/>
          <w:sz w:val="21"/>
        </w:rPr>
        <w:t>1.4    The written resolutions of the board of directors of the Company dated 2 October 2023, 14 August 2024 and 2 May 2026 (the "</w:t>
      </w:r>
      <w:r>
        <w:rPr>
          <w:rFonts w:ascii="Arial;sans-serif" w:hAnsi="Arial;sans-serif"/>
          <w:b/>
          <w:color w:val="000000"/>
          <w:sz w:val="21"/>
        </w:rPr>
        <w:t>Resolutions</w:t>
      </w:r>
      <w:r>
        <w:rPr>
          <w:rFonts w:ascii="Arial;sans-serif" w:hAnsi="Arial;sans-serif"/>
          <w:b w:val="false"/>
          <w:color w:val="000000"/>
          <w:sz w:val="21"/>
        </w:rPr>
        <w:t>").</w:t>
      </w:r>
    </w:p>
    <w:p>
      <w:pPr>
        <w:pStyle w:val="TextBody"/>
        <w:bidi w:val="0"/>
        <w:spacing w:lineRule="auto" w:line="288" w:before="0" w:after="240"/>
        <w:ind w:left="0" w:right="0" w:hanging="720"/>
        <w:jc w:val="both"/>
        <w:rPr/>
      </w:pPr>
      <w:r>
        <w:rPr>
          <w:rFonts w:ascii="Arial;sans-serif" w:hAnsi="Arial;sans-serif"/>
          <w:b w:val="false"/>
          <w:color w:val="000000"/>
          <w:sz w:val="21"/>
        </w:rPr>
        <w:t>1.5    A Certificate of Incumbency dated 1 May 2026, issued by Maples Corporate Services (BVI) Limited, the Company's registered agent (the "</w:t>
      </w:r>
      <w:r>
        <w:rPr>
          <w:rFonts w:ascii="Arial;sans-serif" w:hAnsi="Arial;sans-serif"/>
          <w:b/>
          <w:color w:val="000000"/>
          <w:sz w:val="21"/>
        </w:rPr>
        <w:t>Registered Agent's Certificate</w:t>
      </w:r>
      <w:r>
        <w:rPr>
          <w:rFonts w:ascii="Arial;sans-serif" w:hAnsi="Arial;sans-serif"/>
          <w:b w:val="false"/>
          <w:color w:val="000000"/>
          <w:sz w:val="21"/>
        </w:rPr>
        <w:t>").</w:t>
      </w:r>
    </w:p>
    <w:p>
      <w:pPr>
        <w:pStyle w:val="TextBody"/>
        <w:bidi w:val="0"/>
        <w:spacing w:lineRule="auto" w:line="288" w:before="0" w:after="240"/>
        <w:ind w:left="0" w:right="0" w:hanging="720"/>
        <w:jc w:val="both"/>
        <w:rPr/>
      </w:pPr>
      <w:r>
        <w:rPr>
          <w:rFonts w:ascii="Arial;sans-serif" w:hAnsi="Arial;sans-serif"/>
          <w:b w:val="false"/>
          <w:color w:val="000000"/>
          <w:sz w:val="21"/>
        </w:rPr>
        <w:t>1.6    A certificate of good standing with respect to the Company issued by the Registrar of Corporate Affairs dated 1 May 2026 (the "</w:t>
      </w:r>
      <w:r>
        <w:rPr>
          <w:rFonts w:ascii="Arial;sans-serif" w:hAnsi="Arial;sans-serif"/>
          <w:b/>
          <w:color w:val="000000"/>
          <w:sz w:val="21"/>
        </w:rPr>
        <w:t>Certificate of Good Standing</w:t>
      </w:r>
      <w:r>
        <w:rPr>
          <w:rFonts w:ascii="Arial;sans-serif" w:hAnsi="Arial;sans-serif"/>
          <w:b w:val="false"/>
          <w:color w:val="000000"/>
          <w:sz w:val="21"/>
        </w:rPr>
        <w:t>").</w:t>
      </w:r>
    </w:p>
    <w:p>
      <w:pPr>
        <w:pStyle w:val="TextBody"/>
        <w:bidi w:val="0"/>
        <w:spacing w:lineRule="auto" w:line="288" w:before="0" w:after="240"/>
        <w:ind w:left="0" w:right="0" w:hanging="720"/>
        <w:jc w:val="both"/>
        <w:rPr/>
      </w:pPr>
      <w:r>
        <w:rPr>
          <w:rFonts w:ascii="Arial;sans-serif" w:hAnsi="Arial;sans-serif"/>
          <w:b w:val="false"/>
          <w:color w:val="000000"/>
          <w:sz w:val="21"/>
        </w:rPr>
        <w:t>1.7    A certificate from a director of the Company, a copy of which is annexed to this opinion (the "</w:t>
      </w:r>
      <w:r>
        <w:rPr>
          <w:rFonts w:ascii="Arial;sans-serif" w:hAnsi="Arial;sans-serif"/>
          <w:b/>
          <w:color w:val="000000"/>
          <w:sz w:val="21"/>
        </w:rPr>
        <w:t>Director's Certificate</w:t>
      </w:r>
      <w:r>
        <w:rPr>
          <w:rFonts w:ascii="Arial;sans-serif" w:hAnsi="Arial;sans-serif"/>
          <w:b w:val="false"/>
          <w:color w:val="000000"/>
          <w:sz w:val="21"/>
        </w:rPr>
        <w:t>").</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1.8    The Registration Statement.</w:t>
      </w:r>
    </w:p>
    <w:p>
      <w:pPr>
        <w:pStyle w:val="TextBody"/>
        <w:bidi w:val="0"/>
        <w:spacing w:lineRule="auto" w:line="288" w:before="0" w:after="120"/>
        <w:ind w:left="0" w:right="0" w:hanging="720"/>
        <w:jc w:val="both"/>
        <w:rPr/>
      </w:pPr>
      <w:r>
        <w:rPr>
          <w:rFonts w:ascii="Arial;sans-serif" w:hAnsi="Arial;sans-serif"/>
          <w:b/>
          <w:color w:val="000000"/>
          <w:sz w:val="22"/>
        </w:rPr>
        <w:t>2    </w:t>
      </w:r>
      <w:r>
        <w:rPr>
          <w:rFonts w:ascii="Arial;sans-serif" w:hAnsi="Arial;sans-serif"/>
          <w:b/>
          <w:color w:val="000000"/>
          <w:sz w:val="21"/>
        </w:rPr>
        <w:t>Assumptions</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Registry List of Directors, the Registered Agent's Certificate, the Certificate of Good Standing and the Director's Certificate. We have also relied upon the following assumptions, which we have not independently verified:</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2.1    Copies of documents, conformed copies or drafts of documents provided to us are true and complete copies of, or in the final forms of, the originals.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2.2    All signatures, initials and seals are genuine.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2.3    The capacity, power, authority and legal right of all parties under all relevant laws and regulations (other than, with respect to the Company, the laws and regulations of the British Virgin Islands) to enter into, execute, unconditionally deliver and perform their respective obligations under the Document.</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2.4    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2.5    The Company has sufficient authorised and unissued Shares under the Memorandum and Articles at the time any Shares are issued.</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2.6    No invitation has been or will be made by or on behalf of the Company to the public in the British Virgin Islands to subscribe for any of the Shares.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2.7    The Company has received, or will receive, cash consideration or non-cash consideration in consideration for the issue of the Shares, and that:</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(a)    none of the Shares have been, or will be, issued for less than their par value; and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
                <wp:effectExtent l="0" t="0" r="0" b="0"/>
                <wp:wrapNone/>
                <wp:docPr id="13" name="Frame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2</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(b)    to the extent that any Shares are, or will be, issued, in whole or in part, for non-cash consideration, the value of the non-cash consideration and cash consideration, if any, is not less than the amount credited or to be credited for such Shares.</w:t>
      </w:r>
    </w:p>
    <w:p>
      <w:pPr>
        <w:pStyle w:val="TextBody"/>
        <w:bidi w:val="0"/>
        <w:spacing w:lineRule="auto" w:line="288" w:before="0" w:after="120"/>
        <w:ind w:left="0" w:right="0" w:hanging="720"/>
        <w:jc w:val="both"/>
        <w:rPr>
          <w:rFonts w:ascii="Arial;sans-serif" w:hAnsi="Arial;sans-serif"/>
          <w:b w:val="false"/>
          <w:color w:val="000000"/>
          <w:sz w:val="21"/>
        </w:rPr>
      </w:pPr>
      <w:r>
        <w:rPr>
          <w:rFonts w:ascii="Arial;sans-serif" w:hAnsi="Arial;sans-serif"/>
          <w:b w:val="false"/>
          <w:color w:val="000000"/>
          <w:sz w:val="21"/>
        </w:rPr>
        <w:t>2.8    There is nothing under any law (other than the laws of the British Virgin Islands) which would or might affect the opinions set out below. We have not made any investigation of the laws, rules or regulations of any jurisdiction other than the laws of the British Virgin Islands.</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Save as aforesaid we have not been instructed to undertake and have not undertaken any further enquiry or due diligence in relation to the transaction the subject of this opinion.</w:t>
      </w:r>
    </w:p>
    <w:p>
      <w:pPr>
        <w:pStyle w:val="TextBody"/>
        <w:bidi w:val="0"/>
        <w:spacing w:lineRule="auto" w:line="288" w:before="0" w:after="120"/>
        <w:ind w:left="0" w:right="0" w:hanging="720"/>
        <w:jc w:val="both"/>
        <w:rPr/>
      </w:pPr>
      <w:r>
        <w:rPr>
          <w:rFonts w:ascii="Arial;sans-serif" w:hAnsi="Arial;sans-serif"/>
          <w:b/>
          <w:color w:val="000000"/>
          <w:sz w:val="22"/>
        </w:rPr>
        <w:t>3    </w:t>
      </w:r>
      <w:r>
        <w:rPr>
          <w:rFonts w:ascii="Arial;sans-serif" w:hAnsi="Arial;sans-serif"/>
          <w:b/>
          <w:color w:val="000000"/>
          <w:sz w:val="21"/>
        </w:rPr>
        <w:t>Opinions</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Based upon, and subject to, the foregoing assumptions and the qualifications set out below, and having regard to such legal considerations as we deem relevant, we are of the opinion that:</w:t>
      </w:r>
    </w:p>
    <w:p>
      <w:pPr>
        <w:pStyle w:val="TextBody"/>
        <w:bidi w:val="0"/>
        <w:spacing w:lineRule="auto" w:line="288" w:before="0" w:after="240"/>
        <w:ind w:left="0" w:right="0" w:hanging="720"/>
        <w:jc w:val="both"/>
        <w:rPr/>
      </w:pPr>
      <w:r>
        <w:rPr>
          <w:rFonts w:ascii="Arial;sans-serif" w:hAnsi="Arial;sans-serif"/>
          <w:b w:val="false"/>
          <w:color w:val="000000"/>
          <w:sz w:val="21"/>
        </w:rPr>
        <w:t>3.1    The Company is a company limited by shares incorporated with limited liability under the BVI Business Companies Act (As Revised) (the "</w:t>
      </w:r>
      <w:r>
        <w:rPr>
          <w:rFonts w:ascii="Arial;sans-serif" w:hAnsi="Arial;sans-serif"/>
          <w:b/>
          <w:color w:val="000000"/>
          <w:sz w:val="21"/>
        </w:rPr>
        <w:t>Act</w:t>
      </w:r>
      <w:r>
        <w:rPr>
          <w:rFonts w:ascii="Arial;sans-serif" w:hAnsi="Arial;sans-serif"/>
          <w:b w:val="false"/>
          <w:color w:val="000000"/>
          <w:sz w:val="21"/>
        </w:rPr>
        <w:t>"), is in good standing at the Registry of Corporate Affairs, is validly existing under the laws of the British Virgin Islands and possesses the capacity to sue and be sued in its own name.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3.2    The Shares to be offered and issued by the Company as contemplated by the Registration Statement have been duly authorised for issue, and when issued by the Company against payment in full of the consideration as set out in the Registration Statement and in accordance with the terms set out in the Registration Statement, such Shares will be validly issued, fully paid and non-assessable. As a matter of British Virgin Islands law, a share is only issued when it has been entered in the register of members.</w:t>
      </w:r>
    </w:p>
    <w:p>
      <w:pPr>
        <w:pStyle w:val="TextBody"/>
        <w:bidi w:val="0"/>
        <w:spacing w:lineRule="auto" w:line="288" w:before="0" w:after="120"/>
        <w:ind w:left="0" w:right="0" w:hanging="720"/>
        <w:jc w:val="both"/>
        <w:rPr/>
      </w:pPr>
      <w:r>
        <w:rPr>
          <w:rFonts w:ascii="Arial;sans-serif" w:hAnsi="Arial;sans-serif"/>
          <w:b/>
          <w:color w:val="000000"/>
          <w:sz w:val="22"/>
        </w:rPr>
        <w:t>4    </w:t>
      </w:r>
      <w:r>
        <w:rPr>
          <w:rFonts w:ascii="Arial;sans-serif" w:hAnsi="Arial;sans-serif"/>
          <w:b/>
          <w:color w:val="000000"/>
          <w:sz w:val="21"/>
        </w:rPr>
        <w:t>Qualifications</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The opinions expressed above are subject to the following qualifications: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4.1    To maintain the Company in good standing with the Registrar of Corporate Affairs under the laws of the British Virgin Islands, annual filing fees must be paid, and certain statutory filings and returns made to the Registrar of Corporate Affairs within the time frame prescribed by law. As a consequence of a failure to pay annual filing fees, or to make certain filings or returns, on time, or to demonstrate compliance with certain statutory economic substance requirements where relevant, the Company may be liable to be struck off the register of companies and dissolved.</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4.2    We express no opinion as to the application of, or the Company's compliance with, the British Virgin Islands economic substance regime.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4.3    We express no view as to the commercial terms of the Registration Statement or whether such terms represent the intentions of the parties and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4.4    The obligations of the Company may be subject to restrictions pursuant to United Nations and United Kingdom sanctions extended to the British Virgin Islands by Orders in Council and/or sanctions imposed by governmental or regulatory authorities or agencies in the British Virgin Islands under British Virgin Islands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
                <wp:effectExtent l="0" t="0" r="0" b="0"/>
                <wp:wrapNone/>
                <wp:docPr id="14" name="Frame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3</w:t>
                      </w:r>
                    </w:p>
                  </w:txbxContent>
                </v:textbox>
                <w10:wrap type="none"/>
              </v:rect>
            </w:pict>
          </mc:Fallback>
        </mc:AlternateContent>
      </w:r>
    </w:p>
    <w:p>
      <w:pPr>
        <w:pStyle w:val="TextBody"/>
        <w:bidi w:val="0"/>
        <w:spacing w:lineRule="auto" w:line="288" w:before="0" w:after="240"/>
        <w:ind w:left="0" w:right="0" w:hanging="720"/>
        <w:jc w:val="both"/>
        <w:rPr/>
      </w:pPr>
      <w:r>
        <w:rPr>
          <w:rFonts w:ascii="Arial;sans-serif" w:hAnsi="Arial;sans-serif"/>
          <w:b w:val="false"/>
          <w:color w:val="000000"/>
          <w:sz w:val="21"/>
        </w:rPr>
        <w:t xml:space="preserve">4.5    Under British Virgin Islands law, the register of members is </w:t>
      </w:r>
      <w:r>
        <w:rPr>
          <w:rFonts w:ascii="Arial;sans-serif" w:hAnsi="Arial;sans-serif"/>
          <w:b w:val="false"/>
          <w:i/>
          <w:color w:val="000000"/>
          <w:sz w:val="21"/>
        </w:rPr>
        <w:t>prima facie</w:t>
      </w:r>
      <w:r>
        <w:rPr>
          <w:color w:val="000000"/>
        </w:rPr>
        <w:t xml:space="preserve"> </w:t>
      </w:r>
      <w:r>
        <w:rPr>
          <w:rFonts w:ascii="Arial;sans-serif" w:hAnsi="Arial;sans-serif"/>
          <w:b w:val="false"/>
          <w:color w:val="000000"/>
          <w:sz w:val="21"/>
        </w:rPr>
        <w:t xml:space="preserve">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British Virgin Islands court. </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4.6    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lineRule="auto" w:line="288" w:before="0" w:after="120"/>
        <w:ind w:left="0" w:right="0" w:hanging="720"/>
        <w:jc w:val="both"/>
        <w:rPr>
          <w:rFonts w:ascii="Arial;sans-serif" w:hAnsi="Arial;sans-serif"/>
          <w:b w:val="false"/>
          <w:color w:val="000000"/>
          <w:sz w:val="21"/>
        </w:rPr>
      </w:pPr>
      <w:r>
        <w:rPr>
          <w:rFonts w:ascii="Arial;sans-serif" w:hAnsi="Arial;sans-serif"/>
          <w:b w:val="false"/>
          <w:color w:val="000000"/>
          <w:sz w:val="21"/>
        </w:rPr>
        <w:t xml:space="preserve">4.7    The search of records of proceedings available at the High Court Registry would not reveal any proceeding which has been placed under seal or anonymised (whether by order of the Court or pursuant to the practice of the High Court Registry). </w: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We hereby consent to the filing of this opinion as an exhibit to the Registration Statement and to the reference to our firm under the heading "Validity of Securities" in the prospectus included in the Registration Statement. In providing our consent, we do not thereby admit that we are in the category of persons whose consent is required under Section 7 of the SEC Act or the rules and regulations of the Commission thereunder.</w:t>
      </w:r>
    </w:p>
    <w:p>
      <w:pPr>
        <w:pStyle w:val="TextBody"/>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This opinion is addressed to you and may be relied upon by you, your counsel and purchasers of Shares pursuant to the Registration Statement. This opinion is limited to the matters detailed herein and is not to be read as an opinion with respect to any other matter.</w:t>
      </w:r>
    </w:p>
    <w:p>
      <w:pPr>
        <w:pStyle w:val="TextBody"/>
        <w:bidi w:val="0"/>
        <w:spacing w:lineRule="auto" w:line="288" w:before="0" w:after="460"/>
        <w:jc w:val="both"/>
        <w:rPr>
          <w:rFonts w:ascii="Arial;sans-serif" w:hAnsi="Arial;sans-serif"/>
          <w:b w:val="false"/>
          <w:color w:val="000000"/>
          <w:sz w:val="21"/>
        </w:rPr>
      </w:pPr>
      <w:r>
        <w:rPr>
          <w:rFonts w:ascii="Arial;sans-serif" w:hAnsi="Arial;sans-serif"/>
          <w:b w:val="false"/>
          <w:color w:val="000000"/>
          <w:sz w:val="21"/>
        </w:rPr>
        <w:t>Yours faithfully</w:t>
      </w:r>
    </w:p>
    <w:p>
      <w:pPr>
        <w:pStyle w:val="TextBody"/>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/s/ Maples and Calder</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Maples and Calder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
                <wp:effectExtent l="0" t="0" r="0" b="0"/>
                <wp:wrapNone/>
                <wp:docPr id="15" name="Frame1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4</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1"/>
        </w:rPr>
      </w:pPr>
      <w:r>
        <w:rPr>
          <w:rFonts w:ascii="Arial;sans-serif" w:hAnsi="Arial;sans-serif"/>
          <w:b/>
          <w:color w:val="000000"/>
          <w:sz w:val="21"/>
        </w:rPr>
        <w:t>Appendix A</w:t>
      </w:r>
    </w:p>
    <w:p>
      <w:pPr>
        <w:pStyle w:val="TextBody"/>
        <w:bidi w:val="0"/>
        <w:spacing w:lineRule="auto" w:line="288" w:before="0" w:after="120"/>
        <w:jc w:val="center"/>
        <w:rPr>
          <w:rFonts w:ascii="Arial;sans-serif" w:hAnsi="Arial;sans-serif"/>
          <w:b/>
          <w:color w:val="000000"/>
          <w:sz w:val="21"/>
        </w:rPr>
      </w:pPr>
      <w:r>
        <w:rPr>
          <w:rFonts w:ascii="Arial;sans-serif" w:hAnsi="Arial;sans-serif"/>
          <w:b/>
          <w:color w:val="000000"/>
          <w:sz w:val="21"/>
        </w:rPr>
        <w:t>Director's Certificate</w:t>
      </w:r>
    </w:p>
    <w:p>
      <w:pPr>
        <w:pStyle w:val="TextBody"/>
        <w:bidi w:val="0"/>
        <w:spacing w:lineRule="auto" w:line="288" w:before="0" w:after="0"/>
        <w:ind w:left="0" w:right="0" w:hanging="720"/>
        <w:jc w:val="left"/>
        <w:rPr>
          <w:rFonts w:ascii="Arial;sans-serif" w:hAnsi="Arial;sans-serif"/>
          <w:b w:val="false"/>
          <w:color w:val="000000"/>
          <w:sz w:val="21"/>
        </w:rPr>
      </w:pPr>
      <w:r>
        <w:rPr>
          <w:rFonts w:ascii="Arial;sans-serif" w:hAnsi="Arial;sans-serif"/>
          <w:b w:val="false"/>
          <w:color w:val="000000"/>
          <w:sz w:val="21"/>
        </w:rPr>
        <w:t>To:    Maples and Calder</w:t>
      </w:r>
    </w:p>
    <w:p>
      <w:pPr>
        <w:pStyle w:val="TextBody"/>
        <w:bidi w:val="0"/>
        <w:spacing w:lineRule="auto" w:line="288" w:before="0" w:after="0"/>
        <w:jc w:val="left"/>
        <w:rPr/>
      </w:pPr>
      <w:r>
        <w:rPr>
          <w:rFonts w:ascii="Arial;sans-serif" w:hAnsi="Arial;sans-serif"/>
          <w:b w:val="false"/>
          <w:color w:val="000000"/>
          <w:sz w:val="21"/>
        </w:rPr>
        <w:t>5</w:t>
      </w:r>
      <w:r>
        <w:rPr>
          <w:rFonts w:ascii="Arial;sans-serif" w:hAnsi="Arial;sans-serif"/>
          <w:b w:val="false"/>
          <w:color w:val="000000"/>
          <w:sz w:val="14"/>
        </w:rPr>
        <w:t>th</w:t>
      </w:r>
      <w:r>
        <w:rPr>
          <w:color w:val="000000"/>
        </w:rPr>
        <w:t xml:space="preserve"> </w:t>
      </w:r>
      <w:r>
        <w:rPr>
          <w:rFonts w:ascii="Arial;sans-serif" w:hAnsi="Arial;sans-serif"/>
          <w:b w:val="false"/>
          <w:color w:val="000000"/>
          <w:sz w:val="21"/>
        </w:rPr>
        <w:t>Floor, Ritter House</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PO Box 173</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Road Town</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Tortola</w:t>
      </w:r>
    </w:p>
    <w:p>
      <w:pPr>
        <w:pStyle w:val="TextBody"/>
        <w:bidi w:val="0"/>
        <w:spacing w:lineRule="auto" w:line="288" w:before="0" w:after="340"/>
        <w:jc w:val="left"/>
        <w:rPr>
          <w:rFonts w:ascii="Arial;sans-serif" w:hAnsi="Arial;sans-serif"/>
          <w:b w:val="false"/>
          <w:color w:val="000000"/>
          <w:sz w:val="21"/>
        </w:rPr>
      </w:pPr>
      <w:r>
        <w:rPr>
          <w:rFonts w:ascii="Arial;sans-serif" w:hAnsi="Arial;sans-serif"/>
          <w:b w:val="false"/>
          <w:color w:val="000000"/>
          <w:sz w:val="21"/>
        </w:rPr>
        <w:t>British Virgin Islands</w:t>
      </w:r>
    </w:p>
    <w:p>
      <w:pPr>
        <w:pStyle w:val="TextBody"/>
        <w:bidi w:val="0"/>
        <w:spacing w:lineRule="auto" w:line="288" w:before="0" w:after="120"/>
        <w:jc w:val="right"/>
        <w:rPr>
          <w:rFonts w:ascii="Arial;sans-serif" w:hAnsi="Arial;sans-serif"/>
          <w:b w:val="false"/>
          <w:color w:val="000000"/>
          <w:sz w:val="21"/>
        </w:rPr>
      </w:pPr>
      <w:r>
        <w:rPr>
          <w:rFonts w:ascii="Arial;sans-serif" w:hAnsi="Arial;sans-serif"/>
          <w:b w:val="false"/>
          <w:color w:val="000000"/>
          <w:sz w:val="21"/>
        </w:rPr>
        <w:t>2 May 2026</w:t>
      </w:r>
    </w:p>
    <w:p>
      <w:pPr>
        <w:pStyle w:val="TextBody"/>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Dear Sirs</w:t>
      </w:r>
    </w:p>
    <w:p>
      <w:pPr>
        <w:pStyle w:val="TextBody"/>
        <w:bidi w:val="0"/>
        <w:spacing w:lineRule="auto" w:line="288" w:before="0" w:after="120"/>
        <w:jc w:val="both"/>
        <w:rPr/>
      </w:pPr>
      <w:r>
        <w:rPr>
          <w:rFonts w:ascii="Arial;sans-serif" w:hAnsi="Arial;sans-serif"/>
          <w:b/>
          <w:color w:val="000000"/>
          <w:sz w:val="21"/>
        </w:rPr>
        <w:t xml:space="preserve">Biohaven Ltd. </w:t>
      </w:r>
      <w:r>
        <w:rPr>
          <w:rFonts w:ascii="Arial;sans-serif" w:hAnsi="Arial;sans-serif"/>
          <w:b w:val="false"/>
          <w:color w:val="000000"/>
          <w:sz w:val="21"/>
        </w:rPr>
        <w:t>(the "</w:t>
      </w:r>
      <w:r>
        <w:rPr>
          <w:rFonts w:ascii="Arial;sans-serif" w:hAnsi="Arial;sans-serif"/>
          <w:b/>
          <w:color w:val="000000"/>
          <w:sz w:val="21"/>
        </w:rPr>
        <w:t>Company</w:t>
      </w:r>
      <w:r>
        <w:rPr>
          <w:rFonts w:ascii="Arial;sans-serif" w:hAnsi="Arial;sans-serif"/>
          <w:b w:val="false"/>
          <w:color w:val="000000"/>
          <w:sz w:val="21"/>
        </w:rPr>
        <w:t>")</w:t>
      </w:r>
    </w:p>
    <w:p>
      <w:pPr>
        <w:pStyle w:val="TextBody"/>
        <w:bidi w:val="0"/>
        <w:spacing w:lineRule="auto" w:line="288" w:before="0" w:after="240"/>
        <w:jc w:val="both"/>
        <w:rPr/>
      </w:pPr>
      <w:r>
        <w:rPr>
          <w:rFonts w:ascii="Arial;sans-serif" w:hAnsi="Arial;sans-serif"/>
          <w:b w:val="false"/>
          <w:color w:val="000000"/>
          <w:sz w:val="21"/>
        </w:rPr>
        <w:t>I, the undersigned, being a director of the Company, am aware that you are being asked to provide a legal opinion in relation to certain aspects of British Virgin Islands law (the "</w:t>
      </w:r>
      <w:r>
        <w:rPr>
          <w:rFonts w:ascii="Arial;sans-serif" w:hAnsi="Arial;sans-serif"/>
          <w:b/>
          <w:color w:val="000000"/>
          <w:sz w:val="21"/>
        </w:rPr>
        <w:t>Opinion</w:t>
      </w:r>
      <w:r>
        <w:rPr>
          <w:rFonts w:ascii="Arial;sans-serif" w:hAnsi="Arial;sans-serif"/>
          <w:b w:val="false"/>
          <w:color w:val="000000"/>
          <w:sz w:val="21"/>
        </w:rPr>
        <w:t>"). Unless otherwise defined herein, capitalised terms used in this certificate have the meaning given to them in the Opinion. I hereby certify that:</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     The Memorandum and Articles of Association of the Company registered on 30 September 2022 remain in full force and effect and are unamended.</w:t>
      </w:r>
    </w:p>
    <w:p>
      <w:pPr>
        <w:pStyle w:val="TextBody"/>
        <w:bidi w:val="0"/>
        <w:spacing w:lineRule="auto" w:line="288" w:before="0" w:after="240"/>
        <w:ind w:left="0" w:right="0" w:hanging="720"/>
        <w:jc w:val="both"/>
        <w:rPr/>
      </w:pPr>
      <w:r>
        <w:rPr>
          <w:rFonts w:ascii="Arial;sans-serif" w:hAnsi="Arial;sans-serif"/>
          <w:b w:val="false"/>
          <w:color w:val="000000"/>
          <w:sz w:val="21"/>
        </w:rPr>
        <w:t>2     The director resolutions dated 2 October 2023, 16 August 2024 and 2 May 2026 (the "</w:t>
      </w:r>
      <w:r>
        <w:rPr>
          <w:rFonts w:ascii="Arial;sans-serif" w:hAnsi="Arial;sans-serif"/>
          <w:b/>
          <w:color w:val="000000"/>
          <w:sz w:val="21"/>
        </w:rPr>
        <w:t>Resolutions</w:t>
      </w:r>
      <w:r>
        <w:rPr>
          <w:rFonts w:ascii="Arial;sans-serif" w:hAnsi="Arial;sans-serif"/>
          <w:b w:val="false"/>
          <w:color w:val="000000"/>
          <w:sz w:val="21"/>
        </w:rPr>
        <w:t>") were duly passed in the manner prescribed in the Memorandum and Articles (including, without limitation, with respect to the disclosure of interests (if any) by directors of the Company). The Resolutions have not been amended, varied or revoked in any respect and the directors of the Company have not restricted or limited the powers of any future directors of the Company in any way.</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3     The Company is authorised to issue a maximum of 210,000,000 shares divided into 200,000,000 common shares of a single class of no par value and 10,000,000 preferred shares of a single class of no par value.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4     Immediately prior to the issue of the Shares, the Company will have sufficient authorised but unissued Common Shares in order for the Shares to be issued as contemplated by the Registration Statement and all Common Shares of the Company have been duly authorised and are validly issued as fully-paid and non-assessable.</w:t>
      </w:r>
    </w:p>
    <w:p>
      <w:pPr>
        <w:pStyle w:val="TextBody"/>
        <w:bidi w:val="0"/>
        <w:spacing w:lineRule="auto" w:line="288" w:before="0" w:after="240"/>
        <w:ind w:left="0" w:right="0" w:hanging="720"/>
        <w:jc w:val="both"/>
        <w:rPr/>
      </w:pPr>
      <w:r>
        <w:rPr>
          <w:rFonts w:ascii="Arial;sans-serif" w:hAnsi="Arial;sans-serif"/>
          <w:b w:val="false"/>
          <w:color w:val="000000"/>
          <w:sz w:val="21"/>
        </w:rPr>
        <w:t>5     The shareholders of the Company (the "</w:t>
      </w:r>
      <w:r>
        <w:rPr>
          <w:rFonts w:ascii="Arial;sans-serif" w:hAnsi="Arial;sans-serif"/>
          <w:b/>
          <w:color w:val="000000"/>
          <w:sz w:val="21"/>
        </w:rPr>
        <w:t>Shareholders</w:t>
      </w:r>
      <w:r>
        <w:rPr>
          <w:rFonts w:ascii="Arial;sans-serif" w:hAnsi="Arial;sans-serif"/>
          <w:b w:val="false"/>
          <w:color w:val="000000"/>
          <w:sz w:val="21"/>
        </w:rPr>
        <w:t>") have not restricted or limited the powers of the directors of the Company in any way.</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6     The directors of the Company at the date of the Resolutions and at the date of this certificate were and are as follows: Vladimir Coric, Irina Antonijevic, Gregory H. Bailey, John W. Childs, Julia P. Gregory, Michael T. Heffernan, Robert J. Hugin and Kishan C. Mehta.</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 xml:space="preserve">7     The minute book and corporate records of the Company as maintained at its registered office in the British Virgin Islands and on which the Registered Agent's Certificate were prepared are complete and accurate in all material respects, and all minutes and resolutions filed therein represent a complete and accurate record of all meetings of the members and directors (or any committee thereof) (duly convened in accordance with the Memorandum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6"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5</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and Articles) and all resolutions passed at the meetings, or passed by written resolution or consent, as the case may be.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8     The Company has not created any charges over any of its property or assets.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9     Prior to, at the time of, and immediately following execution of the Equity Distribution Agreement and the effectiveness of the Registration Statement the Company was, or will be, able to pay its debts as they fell, or fall, due, and the transactions to which the Equity Distribution Agreement or the Registration Statement relate will not cause the Company to become unable to pay its debts as they fall due. The Company has entered, or will enter, into the Equity Distribution Agreement or the transactions to which the Registration Statement relate for proper value, not with an intention to defraud or wilfully defeat an obligation owed to any creditor and the transactions contemplated thereby do not and will not give any creditor an unfair preference.</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10     Neither the Company nor any of its subsidiaries (if any) has an interest in any land in the British Virgin Islands.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11     Each director of the Company considers the transactions contemplated by the Equity Distribution Agreement and the Registration Statement to be of commercial benefit to the Company and has acted in good faith in the best interests of the Company, and for a proper purpose of the Company, in relation to the transactions which are the subject of the Opinion.</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12     No invitation has been or will be made by or on behalf of the Company to the public in the British Virgin Islands to subscribe for any of the Shares.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 xml:space="preserve">13     The Company is not a sovereign entity of any state and is not a subsidiary, direct or indirect of any sovereign entity or state. </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 xml:space="preserve">14     The Company has received or will receive cash consideration for the issue of the Shares and none of the Shares were or will be issued for less than par value. </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15     To the best of my knowledge and belief, having made due inquiry, the Company is not the subject of legal, arbitral, administrative or other proceedings in any jurisdiction. Nor have the Directors and/or the Member taken any steps to have the Company struck off or placed in liquidation, nor have any steps been taken to wind up the Company. Nor has any receiver been appointed over any of the Company's property or assets.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16     The Company has at no time had employees.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17     To the best of my knowledge and belief, having made due inquiry, there are no circumstances or matters of fact existing which may properly form the basis for an application for an order for rectification of the register of members of the Company.</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18     Each of the Equity Distribution Agreement and the Registration Statement has been, or will be, authorised and duly executed and delivered by or on behalf of all relevant parties in accordance with all relevant laws.</w: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19     The Shares to be issued pursuant to the Equity Distribution Agreement and as contemplated by the Registration Statement have been, or will be, duly registered, and will continue to be registered, in the Company's register of members.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7"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6</w:t>
                      </w:r>
                    </w:p>
                  </w:txbxContent>
                </v:textbox>
                <w10:wrap type="none"/>
              </v:rect>
            </w:pict>
          </mc:Fallback>
        </mc:AlternateContent>
      </w:r>
    </w:p>
    <w:p>
      <w:pPr>
        <w:pStyle w:val="TextBody"/>
        <w:bidi w:val="0"/>
        <w:spacing w:lineRule="auto" w:line="288" w:before="0" w:after="240"/>
        <w:ind w:left="0" w:right="0" w:hanging="720"/>
        <w:jc w:val="both"/>
        <w:rPr>
          <w:rFonts w:ascii="Arial;sans-serif" w:hAnsi="Arial;sans-serif"/>
          <w:b w:val="false"/>
          <w:color w:val="000000"/>
          <w:sz w:val="21"/>
        </w:rPr>
      </w:pPr>
      <w:r>
        <w:rPr>
          <w:rFonts w:ascii="Arial;sans-serif" w:hAnsi="Arial;sans-serif"/>
          <w:b w:val="false"/>
          <w:color w:val="000000"/>
          <w:sz w:val="21"/>
        </w:rPr>
        <w:t>20     The Company is not a central bank, monetary authority or other sovereign entity of any state and is not a subsidiary, direct or indirect, of any sovereign entity or state.</w:t>
      </w:r>
    </w:p>
    <w:p>
      <w:pPr>
        <w:pStyle w:val="TextBody"/>
        <w:bidi w:val="0"/>
        <w:spacing w:lineRule="auto" w:line="288" w:before="0" w:after="460"/>
        <w:ind w:left="0" w:right="0" w:hanging="720"/>
        <w:jc w:val="both"/>
        <w:rPr>
          <w:rFonts w:ascii="Arial;sans-serif" w:hAnsi="Arial;sans-serif"/>
          <w:b w:val="false"/>
          <w:color w:val="000000"/>
          <w:sz w:val="21"/>
        </w:rPr>
      </w:pPr>
      <w:r>
        <w:rPr>
          <w:rFonts w:ascii="Arial;sans-serif" w:hAnsi="Arial;sans-serif"/>
          <w:b w:val="false"/>
          <w:color w:val="000000"/>
          <w:sz w:val="21"/>
        </w:rPr>
        <w:t>21     There is no contractual or other prohibition or restriction (other than as arising under British Virgin Islands law) binding on the Company prohibiting or restricting it from entering into and performing its obligations under the Registration Statement.</w:t>
      </w:r>
    </w:p>
    <w:p>
      <w:pPr>
        <w:pStyle w:val="TextBody"/>
        <w:bidi w:val="0"/>
        <w:spacing w:lineRule="auto" w:line="288"/>
        <w:jc w:val="center"/>
        <w:rPr/>
      </w:pPr>
      <w:r>
        <w:rPr>
          <w:rFonts w:ascii="Arial;sans-serif" w:hAnsi="Arial;sans-serif"/>
          <w:b w:val="false"/>
          <w:color w:val="000000"/>
          <w:sz w:val="21"/>
        </w:rPr>
        <w:t>[</w:t>
      </w:r>
      <w:r>
        <w:rPr>
          <w:rFonts w:ascii="Arial;sans-serif" w:hAnsi="Arial;sans-serif"/>
          <w:b w:val="false"/>
          <w:i/>
          <w:color w:val="000000"/>
          <w:sz w:val="21"/>
        </w:rPr>
        <w:t>Signature page follows</w:t>
      </w:r>
      <w:r>
        <w:rPr>
          <w:rFonts w:ascii="Arial;sans-serif" w:hAnsi="Arial;sans-serif"/>
          <w:b w:val="false"/>
          <w:color w:val="000000"/>
          <w:sz w:val="21"/>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8"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7</w:t>
                      </w:r>
                    </w:p>
                  </w:txbxContent>
                </v:textbox>
                <w10:wrap type="none"/>
              </v:rect>
            </w:pict>
          </mc:Fallback>
        </mc:AlternateContent>
      </w:r>
    </w:p>
    <w:p>
      <w:pPr>
        <w:pStyle w:val="TextBody"/>
        <w:bidi w:val="0"/>
        <w:spacing w:lineRule="auto" w:line="288" w:before="0" w:after="200"/>
        <w:jc w:val="center"/>
        <w:rPr/>
      </w:pPr>
      <w:r>
        <w:rPr>
          <w:rFonts w:ascii="Arial;sans-serif" w:hAnsi="Arial;sans-serif"/>
          <w:b w:val="false"/>
          <w:color w:val="000000"/>
          <w:sz w:val="21"/>
        </w:rPr>
        <w:t>[</w:t>
      </w:r>
      <w:r>
        <w:rPr>
          <w:rFonts w:ascii="Arial;sans-serif" w:hAnsi="Arial;sans-serif"/>
          <w:b w:val="false"/>
          <w:i/>
          <w:color w:val="000000"/>
          <w:sz w:val="21"/>
        </w:rPr>
        <w:t>Signature page to the director's certificate for Biohaven Ltd. – 5.1 Opinion (ATM)</w:t>
      </w:r>
      <w:r>
        <w:rPr>
          <w:rFonts w:ascii="Arial;sans-serif" w:hAnsi="Arial;sans-serif"/>
          <w:b w:val="false"/>
          <w:color w:val="000000"/>
          <w:sz w:val="21"/>
        </w:rPr>
        <w:t>]</w:t>
      </w:r>
    </w:p>
    <w:p>
      <w:pPr>
        <w:pStyle w:val="TextBody"/>
        <w:bidi w:val="0"/>
        <w:spacing w:lineRule="auto" w:line="288" w:before="0" w:after="800"/>
        <w:jc w:val="both"/>
        <w:rPr>
          <w:rFonts w:ascii="Arial;sans-serif" w:hAnsi="Arial;sans-serif"/>
          <w:b w:val="false"/>
          <w:color w:val="000000"/>
          <w:sz w:val="21"/>
        </w:rPr>
      </w:pPr>
      <w:r>
        <w:rPr>
          <w:rFonts w:ascii="Arial;sans-serif" w:hAnsi="Arial;sans-serif"/>
          <w:b w:val="false"/>
          <w:color w:val="000000"/>
          <w:sz w:val="21"/>
        </w:rPr>
        <w:t>I confirm that you may continue to rely on this certificate as being true and correct on the day that you issue the Opinion, unless I shall have previously notified you in writing personally to the contrary.</w:t>
      </w:r>
    </w:p>
    <w:tbl>
      <w:tblPr>
        <w:tblW w:w="2504" w:type="dxa"/>
        <w:jc w:val="left"/>
        <w:tblInd w:w="0" w:type="dxa"/>
        <w:tblLayout w:type="fixed"/>
        <w:tblCellMar>
          <w:top w:w="28" w:type="dxa"/>
          <w:left w:w="28" w:type="dxa"/>
          <w:bottom w:w="28" w:type="dxa"/>
          <w:right w:w="28" w:type="dxa"/>
        </w:tblCellMar>
      </w:tblPr>
      <w:tblGrid>
        <w:gridCol w:w="396"/>
        <w:gridCol w:w="349"/>
        <w:gridCol w:w="350"/>
        <w:gridCol w:w="412"/>
        <w:gridCol w:w="412"/>
        <w:gridCol w:w="585"/>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Signature: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/s/ Vlad Coric</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1"/>
              </w:rPr>
            </w:pPr>
            <w:r>
              <w:rPr>
                <w:rFonts w:ascii="Arial;sans-serif" w:hAnsi="Arial;sans-serif"/>
                <w:b w:val="false"/>
                <w:color w:val="000000"/>
                <w:sz w:val="21"/>
              </w:rPr>
              <w:t>Name: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1"/>
              </w:rPr>
            </w:pPr>
            <w:r>
              <w:rPr>
                <w:rFonts w:ascii="Arial;sans-serif" w:hAnsi="Arial;sans-serif"/>
                <w:b w:val="false"/>
                <w:color w:val="000000"/>
                <w:sz w:val="21"/>
              </w:rPr>
              <w:t>Vlad Coric</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1"/>
              </w:rPr>
            </w:pPr>
            <w:r>
              <w:rPr>
                <w:rFonts w:ascii="Arial;sans-serif" w:hAnsi="Arial;sans-serif"/>
                <w:b w:val="false"/>
                <w:color w:val="000000"/>
                <w:sz w:val="21"/>
              </w:rPr>
              <w:t>Title: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1"/>
              </w:rPr>
            </w:pPr>
            <w:r>
              <w:rPr>
                <w:rFonts w:ascii="Arial;sans-serif" w:hAnsi="Arial;sans-serif"/>
                <w:b w:val="false"/>
                <w:color w:val="000000"/>
                <w:sz w:val="21"/>
              </w:rPr>
              <w:t>Director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9"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1"/>
                        </w:rPr>
                      </w:pPr>
                      <w:r>
                        <w:rPr>
                          <w:rFonts w:ascii="Arial;sans-serif" w:hAnsi="Arial;sans-serif"/>
                          <w:b w:val="false"/>
                          <w:color w:val="000000"/>
                          <w:sz w:val="21"/>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35979/000162828023033545/exhibit11-8xk.htm" TargetMode="External"/><Relationship Id="rId3" Type="http://schemas.openxmlformats.org/officeDocument/2006/relationships/hyperlink" Target="https://www.sec.gov/Archives/edgar/data/1935979/000162828024037568/exhibit12-atm8xk81624.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5321</Words>
  <Characters>27285</Characters>
  <CharactersWithSpaces>32604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