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March 12, 2024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Biohaven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001-41477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780" w:space="720"/>
            <w:col w:w="2720" w:space="720"/>
            <w:col w:w="3300"/>
          </w:cols>
          <w:pgMar w:left="320" w:top="1440" w:right="339" w:bottom="1440" w:gutter="0" w:footer="0" w:header="0"/>
          <w:type w:val="continuous"/>
        </w:sectPr>
      </w:pP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 Biohaven Pharmaceuticals, Inc.</w:t>
      </w:r>
    </w:p>
    <w:p>
      <w:pPr>
        <w:spacing w:after="0" w:line="2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215 Church Street</w:t>
      </w:r>
    </w:p>
    <w:p>
      <w:pPr>
        <w:spacing w:after="0" w:line="1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New Haven, Connecticut 06510</w:t>
      </w:r>
    </w:p>
    <w:p>
      <w:pPr>
        <w:spacing w:after="0" w:line="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(203) 404-0410</w:t>
      </w:r>
    </w:p>
    <w:p>
      <w:pPr>
        <w:spacing w:after="0" w:line="1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9"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40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BHVN</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On March 12, 2024, Biohaven Ltd. (the “Company”) filed a prospectus supplement to its Registration Statement on Form S-3 (No. 333-274822) (the “Registration Statement”) filed with the U.S. Securities and Exchange Commission (the “Commission”), under the Securities Act of 1933, as amended, with respect to the resale by the selling shareholders named therein of 45,883 common shares, no par value, of the Company that were issued by the Company to such selling shareholders as share consideration in connection with the transactions and business arrangements described therein.</w:t>
      </w:r>
    </w:p>
    <w:p>
      <w:pPr>
        <w:spacing w:after="0" w:line="2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the Company is filing a legal opinion as Exhibit No. 5.1 to this Current Report on Form 8-K, which is incorporated by reference into the Registration Statement.</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560" w:type="dxa"/>
            <w:vAlign w:val="bottom"/>
          </w:tcPr>
          <w:p>
            <w:pPr>
              <w:spacing w:after="0"/>
              <w:rPr>
                <w:sz w:val="20"/>
                <w:szCs w:val="20"/>
                <w:color w:val="auto"/>
              </w:rPr>
            </w:pPr>
          </w:p>
        </w:tc>
      </w:tr>
      <w:tr>
        <w:trPr>
          <w:trHeight w:val="526"/>
        </w:trPr>
        <w:tc>
          <w:tcPr>
            <w:tcW w:w="23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5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3"/>
        </w:trPr>
        <w:tc>
          <w:tcPr>
            <w:tcW w:w="22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1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Opinion of Maples &amp; Calder.</w:t>
            </w:r>
          </w:p>
        </w:tc>
        <w:tc>
          <w:tcPr>
            <w:tcW w:w="6560" w:type="dxa"/>
            <w:vAlign w:val="bottom"/>
            <w:tcBorders>
              <w:top w:val="single" w:sz="8" w:color="auto"/>
            </w:tcBorders>
          </w:tcPr>
          <w:p>
            <w:pPr>
              <w:spacing w:after="0"/>
              <w:rPr>
                <w:sz w:val="15"/>
                <w:szCs w:val="15"/>
                <w:color w:val="auto"/>
              </w:rPr>
            </w:pPr>
          </w:p>
        </w:tc>
      </w:tr>
      <w:tr>
        <w:trPr>
          <w:trHeight w:val="245"/>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Maples &amp; Calder (included in Exhibit 5.1).</w:t>
            </w:r>
          </w:p>
        </w:tc>
      </w:tr>
      <w:tr>
        <w:trPr>
          <w:trHeight w:val="23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0"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2024</w:t>
      </w:r>
    </w:p>
    <w:p>
      <w:pPr>
        <w:spacing w:after="0" w:line="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297"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Buten</w:t>
            </w:r>
          </w:p>
        </w:tc>
      </w:tr>
      <w:tr>
        <w:trPr>
          <w:trHeight w:val="218"/>
        </w:trPr>
        <w:tc>
          <w:tcPr>
            <w:tcW w:w="84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Buten</w:t>
            </w:r>
          </w:p>
        </w:tc>
      </w:tr>
      <w:tr>
        <w:trPr>
          <w:trHeight w:val="234"/>
        </w:trPr>
        <w:tc>
          <w:tcPr>
            <w:tcW w:w="84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5589270" cy="1217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927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9"/>
          <w:szCs w:val="19"/>
          <w:color w:val="auto"/>
        </w:rPr>
        <w:t>Biohaven Ltd.</w:t>
      </w:r>
    </w:p>
    <w:p>
      <w:pPr>
        <w:ind w:left="80"/>
        <w:spacing w:after="0" w:line="207" w:lineRule="auto"/>
        <w:rPr>
          <w:sz w:val="20"/>
          <w:szCs w:val="20"/>
          <w:color w:val="auto"/>
        </w:rPr>
      </w:pPr>
      <w:r>
        <w:rPr>
          <w:rFonts w:ascii="Arial" w:cs="Arial" w:eastAsia="Arial" w:hAnsi="Arial"/>
          <w:sz w:val="19"/>
          <w:szCs w:val="19"/>
          <w:color w:val="auto"/>
        </w:rPr>
        <w:t>Kingston Chambers</w:t>
      </w:r>
    </w:p>
    <w:p>
      <w:pPr>
        <w:ind w:left="80"/>
        <w:spacing w:after="0" w:line="208" w:lineRule="auto"/>
        <w:rPr>
          <w:sz w:val="20"/>
          <w:szCs w:val="20"/>
          <w:color w:val="auto"/>
        </w:rPr>
      </w:pPr>
      <w:r>
        <w:rPr>
          <w:rFonts w:ascii="Arial" w:cs="Arial" w:eastAsia="Arial" w:hAnsi="Arial"/>
          <w:sz w:val="19"/>
          <w:szCs w:val="19"/>
          <w:color w:val="auto"/>
        </w:rPr>
        <w:t>P.O. Box 173</w:t>
      </w:r>
    </w:p>
    <w:p>
      <w:pPr>
        <w:ind w:left="80"/>
        <w:spacing w:after="0" w:line="207" w:lineRule="auto"/>
        <w:rPr>
          <w:sz w:val="20"/>
          <w:szCs w:val="20"/>
          <w:color w:val="auto"/>
        </w:rPr>
      </w:pPr>
      <w:r>
        <w:rPr>
          <w:rFonts w:ascii="Arial" w:cs="Arial" w:eastAsia="Arial" w:hAnsi="Arial"/>
          <w:sz w:val="19"/>
          <w:szCs w:val="19"/>
          <w:color w:val="auto"/>
        </w:rPr>
        <w:t>Road Town, Tortola</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9"/>
          <w:szCs w:val="19"/>
          <w:color w:val="auto"/>
        </w:rPr>
        <w:t>British Virgin Islands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12 March 2024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Dear Sirs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Biohaven Ltd. (the "Company")</w:t>
      </w:r>
    </w:p>
    <w:p>
      <w:pPr>
        <w:spacing w:after="0" w:line="79"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We have acted as counsel as to British Virgin Islands law to the Company in respect of the proposed resale of an aggregate of 45,883 common shares in the Company with no par value (the "</w:t>
      </w:r>
      <w:r>
        <w:rPr>
          <w:rFonts w:ascii="Arial" w:cs="Arial" w:eastAsia="Arial" w:hAnsi="Arial"/>
          <w:sz w:val="19"/>
          <w:szCs w:val="19"/>
          <w:b w:val="1"/>
          <w:bCs w:val="1"/>
          <w:color w:val="auto"/>
        </w:rPr>
        <w:t>Shares</w:t>
      </w:r>
      <w:r>
        <w:rPr>
          <w:rFonts w:ascii="Arial" w:cs="Arial" w:eastAsia="Arial" w:hAnsi="Arial"/>
          <w:sz w:val="19"/>
          <w:szCs w:val="19"/>
          <w:color w:val="auto"/>
        </w:rPr>
        <w:t>") issued on 7 January 2024 and 8 March 2024 to the Selling Shareholders (as defined in the Prospectus Supplement) pursuant to the terms of an Agreement and Plan of Merger dated 7 January 2024 entered into between the Company, Adjo Sub, Inc., Pyramid Biosciences, Inc. and Shareholder Representative Services LLC (the "</w:t>
      </w:r>
      <w:r>
        <w:rPr>
          <w:rFonts w:ascii="Arial" w:cs="Arial" w:eastAsia="Arial" w:hAnsi="Arial"/>
          <w:sz w:val="19"/>
          <w:szCs w:val="19"/>
          <w:b w:val="1"/>
          <w:bCs w:val="1"/>
          <w:color w:val="auto"/>
        </w:rPr>
        <w:t>Agreement</w:t>
      </w:r>
      <w:r>
        <w:rPr>
          <w:rFonts w:ascii="Arial" w:cs="Arial" w:eastAsia="Arial" w:hAnsi="Arial"/>
          <w:sz w:val="19"/>
          <w:szCs w:val="19"/>
          <w:color w:val="auto"/>
        </w:rPr>
        <w:t>"). We have been asked to provide this legal opinion in connection with the Company's registration statement on Form S-3, including all amendments or supplements thereto, and the prospectus supplement dated 12 March 2024 (the "</w:t>
      </w:r>
      <w:r>
        <w:rPr>
          <w:rFonts w:ascii="Arial" w:cs="Arial" w:eastAsia="Arial" w:hAnsi="Arial"/>
          <w:sz w:val="19"/>
          <w:szCs w:val="19"/>
          <w:b w:val="1"/>
          <w:bCs w:val="1"/>
          <w:color w:val="auto"/>
        </w:rPr>
        <w:t>Prospectus</w:t>
      </w:r>
      <w:r>
        <w:rPr>
          <w:rFonts w:ascii="Arial" w:cs="Arial" w:eastAsia="Arial" w:hAnsi="Arial"/>
          <w:sz w:val="19"/>
          <w:szCs w:val="19"/>
          <w:color w:val="auto"/>
        </w:rPr>
        <w:t xml:space="preserve"> </w:t>
      </w:r>
      <w:r>
        <w:rPr>
          <w:rFonts w:ascii="Arial" w:cs="Arial" w:eastAsia="Arial" w:hAnsi="Arial"/>
          <w:sz w:val="19"/>
          <w:szCs w:val="19"/>
          <w:b w:val="1"/>
          <w:bCs w:val="1"/>
          <w:color w:val="auto"/>
        </w:rPr>
        <w:t>Supplement</w:t>
      </w:r>
      <w:r>
        <w:rPr>
          <w:rFonts w:ascii="Arial" w:cs="Arial" w:eastAsia="Arial" w:hAnsi="Arial"/>
          <w:sz w:val="19"/>
          <w:szCs w:val="19"/>
          <w:color w:val="auto"/>
        </w:rPr>
        <w:t>") filed with the United States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the United States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of 1933, as amended (the "</w:t>
      </w:r>
      <w:r>
        <w:rPr>
          <w:rFonts w:ascii="Arial" w:cs="Arial" w:eastAsia="Arial" w:hAnsi="Arial"/>
          <w:sz w:val="19"/>
          <w:szCs w:val="19"/>
          <w:b w:val="1"/>
          <w:bCs w:val="1"/>
          <w:color w:val="auto"/>
        </w:rPr>
        <w:t>SEC Act</w:t>
      </w:r>
      <w:r>
        <w:rPr>
          <w:rFonts w:ascii="Arial" w:cs="Arial" w:eastAsia="Arial" w:hAnsi="Arial"/>
          <w:sz w:val="19"/>
          <w:szCs w:val="19"/>
          <w:color w:val="auto"/>
        </w:rPr>
        <w:t>")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w:t>
      </w:r>
    </w:p>
    <w:p>
      <w:pPr>
        <w:spacing w:after="0" w:line="148"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19"/>
          <w:szCs w:val="19"/>
          <w:b w:val="1"/>
          <w:bCs w:val="1"/>
          <w:color w:val="auto"/>
        </w:rPr>
        <w:t>Documents Reviewed</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We have reviewed originals, copies, drafts or conformed copies of the following documents:</w:t>
      </w:r>
    </w:p>
    <w:p>
      <w:pPr>
        <w:spacing w:after="0" w:line="187" w:lineRule="exact"/>
        <w:rPr>
          <w:sz w:val="20"/>
          <w:szCs w:val="20"/>
          <w:color w:val="auto"/>
        </w:rPr>
      </w:pPr>
    </w:p>
    <w:p>
      <w:pPr>
        <w:jc w:val="both"/>
        <w:ind w:left="640" w:hanging="647"/>
        <w:spacing w:after="0" w:line="233" w:lineRule="auto"/>
        <w:tabs>
          <w:tab w:leader="none" w:pos="6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The public records of the Company on file and available for public inspection at the Registry of Corporate Affairs in the British Virgin Islands (the "</w:t>
      </w:r>
      <w:r>
        <w:rPr>
          <w:rFonts w:ascii="Arial" w:cs="Arial" w:eastAsia="Arial" w:hAnsi="Arial"/>
          <w:sz w:val="19"/>
          <w:szCs w:val="19"/>
          <w:b w:val="1"/>
          <w:bCs w:val="1"/>
          <w:color w:val="auto"/>
        </w:rPr>
        <w:t>Registry of Corporate Affairs</w:t>
      </w:r>
      <w:r>
        <w:rPr>
          <w:rFonts w:ascii="Arial" w:cs="Arial" w:eastAsia="Arial" w:hAnsi="Arial"/>
          <w:sz w:val="19"/>
          <w:szCs w:val="19"/>
          <w:color w:val="auto"/>
        </w:rPr>
        <w:t>") on 12 March 2024, including the Company's Certificate of Incorporation and its Memorandum and Articles of Association (the "</w:t>
      </w:r>
      <w:r>
        <w:rPr>
          <w:rFonts w:ascii="Arial" w:cs="Arial" w:eastAsia="Arial" w:hAnsi="Arial"/>
          <w:sz w:val="19"/>
          <w:szCs w:val="19"/>
          <w:b w:val="1"/>
          <w:bCs w:val="1"/>
          <w:color w:val="auto"/>
        </w:rPr>
        <w:t>Memorandum and Articles</w:t>
      </w:r>
      <w:r>
        <w:rPr>
          <w:rFonts w:ascii="Arial" w:cs="Arial" w:eastAsia="Arial" w:hAnsi="Arial"/>
          <w:sz w:val="19"/>
          <w:szCs w:val="19"/>
          <w:color w:val="auto"/>
        </w:rPr>
        <w:t>").</w:t>
      </w:r>
    </w:p>
    <w:p>
      <w:pPr>
        <w:spacing w:after="0" w:line="147" w:lineRule="exact"/>
        <w:rPr>
          <w:sz w:val="20"/>
          <w:szCs w:val="20"/>
          <w:color w:val="auto"/>
        </w:rPr>
      </w:pPr>
    </w:p>
    <w:p>
      <w:pPr>
        <w:jc w:val="both"/>
        <w:ind w:left="640" w:hanging="647"/>
        <w:spacing w:after="0" w:line="233" w:lineRule="auto"/>
        <w:tabs>
          <w:tab w:leader="none" w:pos="62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records of proceedings available from a search of the electronic records maintained on the Judicial Enforcement Management System from 1 January 2000 and available for inspection on 12 March 2024 at the British Virgin Islands High Court Registry (the "</w:t>
      </w:r>
      <w:r>
        <w:rPr>
          <w:rFonts w:ascii="Arial" w:cs="Arial" w:eastAsia="Arial" w:hAnsi="Arial"/>
          <w:sz w:val="19"/>
          <w:szCs w:val="19"/>
          <w:b w:val="1"/>
          <w:bCs w:val="1"/>
          <w:color w:val="auto"/>
        </w:rPr>
        <w:t>High Court Registry</w:t>
      </w:r>
      <w:r>
        <w:rPr>
          <w:rFonts w:ascii="Arial" w:cs="Arial" w:eastAsia="Arial" w:hAnsi="Arial"/>
          <w:sz w:val="19"/>
          <w:szCs w:val="19"/>
          <w:color w:val="auto"/>
        </w:rPr>
        <w:t>").</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8"/>
          <w:szCs w:val="18"/>
          <w:color w:val="auto"/>
        </w:rPr>
        <w:t>The written resolutions of the board of directors passed on 31 December 2023 and 10 March 2024 (the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87"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A Certificate of Incumbency dated 11 March 2024, issued by Maples Corporate Services (BVI) Limited, the Company's registered agent (the "</w:t>
      </w:r>
      <w:r>
        <w:rPr>
          <w:rFonts w:ascii="Arial" w:cs="Arial" w:eastAsia="Arial" w:hAnsi="Arial"/>
          <w:sz w:val="19"/>
          <w:szCs w:val="19"/>
          <w:b w:val="1"/>
          <w:bCs w:val="1"/>
          <w:color w:val="auto"/>
        </w:rPr>
        <w:t>Registered Agent's Certificate</w:t>
      </w:r>
      <w:r>
        <w:rPr>
          <w:rFonts w:ascii="Arial" w:cs="Arial" w:eastAsia="Arial" w:hAnsi="Arial"/>
          <w:sz w:val="19"/>
          <w:szCs w:val="19"/>
          <w:color w:val="auto"/>
        </w:rPr>
        <w:t>").</w:t>
      </w:r>
    </w:p>
    <w:p>
      <w:pPr>
        <w:spacing w:after="0" w:line="135"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9"/>
          <w:szCs w:val="19"/>
          <w:color w:val="auto"/>
        </w:rPr>
        <w:t>A certificate of good standing with respect to the Company issued by the Registrar of Corporate Affairs dated 11 March 2024 (the "</w:t>
      </w:r>
      <w:r>
        <w:rPr>
          <w:rFonts w:ascii="Arial" w:cs="Arial" w:eastAsia="Arial" w:hAnsi="Arial"/>
          <w:sz w:val="19"/>
          <w:szCs w:val="19"/>
          <w:b w:val="1"/>
          <w:bCs w:val="1"/>
          <w:color w:val="auto"/>
        </w:rPr>
        <w:t>Certificate of Good Standing</w:t>
      </w:r>
      <w:r>
        <w:rPr>
          <w:rFonts w:ascii="Arial" w:cs="Arial" w:eastAsia="Arial" w:hAnsi="Arial"/>
          <w:sz w:val="19"/>
          <w:szCs w:val="19"/>
          <w:color w:val="auto"/>
        </w:rPr>
        <w:t>").</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A certificate from a director of the Company (the "</w:t>
      </w:r>
      <w:r>
        <w:rPr>
          <w:rFonts w:ascii="Arial" w:cs="Arial" w:eastAsia="Arial" w:hAnsi="Arial"/>
          <w:sz w:val="18"/>
          <w:szCs w:val="18"/>
          <w:b w:val="1"/>
          <w:bCs w:val="1"/>
          <w:color w:val="auto"/>
        </w:rPr>
        <w:t>Director's Certificate</w:t>
      </w:r>
      <w:r>
        <w:rPr>
          <w:rFonts w:ascii="Arial" w:cs="Arial" w:eastAsia="Arial" w:hAnsi="Arial"/>
          <w:sz w:val="18"/>
          <w:szCs w:val="18"/>
          <w:color w:val="auto"/>
        </w:rPr>
        <w:t>").</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8"/>
          <w:szCs w:val="18"/>
          <w:color w:val="auto"/>
        </w:rPr>
        <w:t>The Registration Statement.</w:t>
      </w:r>
    </w:p>
    <w:p>
      <w:pPr>
        <w:sectPr>
          <w:pgSz w:w="11900" w:h="16838" w:orient="portrait"/>
          <w:cols w:equalWidth="0" w:num="1">
            <w:col w:w="11240"/>
          </w:cols>
          <w:pgMar w:left="320" w:top="112" w:right="339" w:bottom="1440" w:gutter="0" w:footer="0" w:header="0"/>
        </w:sectPr>
      </w:pPr>
    </w:p>
    <w:bookmarkStart w:id="4" w:name="page5"/>
    <w:bookmarkEnd w:id="4"/>
    <w:p>
      <w:pPr>
        <w:spacing w:after="0" w:line="200" w:lineRule="exact"/>
        <w:rPr>
          <w:sz w:val="20"/>
          <w:szCs w:val="20"/>
          <w:color w:val="auto"/>
        </w:rPr>
      </w:pPr>
    </w:p>
    <w:p>
      <w:pPr>
        <w:spacing w:after="0" w:line="322"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19"/>
          <w:szCs w:val="19"/>
          <w:b w:val="1"/>
          <w:bCs w:val="1"/>
          <w:color w:val="auto"/>
        </w:rPr>
        <w:t>Assumptions</w:t>
      </w:r>
    </w:p>
    <w:p>
      <w:pPr>
        <w:spacing w:after="0" w:line="81"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The following opinions are given only as to, and based on, circumstances and matters of fact existing and known to us on the date of this opinion letter. These opinions only relate to the laws of the British Virgin Islands which are in force on the date of this opinion letter. In giving the following opinions we have relied (without further verification) upon the completeness and accuracy, as at the date of this opinion letter, of the Registered Agent's Certificate, the Certificate of Good Standing and the Director's Certificate. We have also relied upon the following assumptions, which we have not independently verified:</w:t>
      </w:r>
    </w:p>
    <w:p>
      <w:pPr>
        <w:spacing w:after="0" w:line="160"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The Agreement was and is authorised and duly executed and unconditionally delivered by or on behalf of all relevant parties in accordance with all relevant laws (including, without limitation, the laws of the British Virgin Islands).</w:t>
      </w:r>
    </w:p>
    <w:p>
      <w:pPr>
        <w:spacing w:after="0" w:line="155" w:lineRule="exact"/>
        <w:rPr>
          <w:sz w:val="20"/>
          <w:szCs w:val="20"/>
          <w:color w:val="auto"/>
        </w:rPr>
      </w:pPr>
    </w:p>
    <w:p>
      <w:pPr>
        <w:jc w:val="both"/>
        <w:ind w:left="640" w:right="20" w:hanging="647"/>
        <w:spacing w:after="0" w:line="241" w:lineRule="auto"/>
        <w:tabs>
          <w:tab w:leader="none" w:pos="62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Agreement was and is legal, valid, binding and enforceable against all relevant parties in accordance with its terms under all relevant laws (including, without limitation, the laws of the British Virgin Islands).</w:t>
      </w:r>
    </w:p>
    <w:p>
      <w:pPr>
        <w:spacing w:after="0" w:line="155" w:lineRule="exact"/>
        <w:rPr>
          <w:sz w:val="20"/>
          <w:szCs w:val="20"/>
          <w:color w:val="auto"/>
        </w:rPr>
      </w:pPr>
    </w:p>
    <w:p>
      <w:pPr>
        <w:jc w:val="both"/>
        <w:ind w:left="640" w:right="20" w:hanging="647"/>
        <w:spacing w:after="0" w:line="241" w:lineRule="auto"/>
        <w:tabs>
          <w:tab w:leader="none" w:pos="62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Copies of documents, conformed copies or drafts of documents provided to us are true and complete copies of, or in the final forms of, the originals.</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color w:val="auto"/>
        </w:rPr>
        <w:t>All signatures, initials and seals are genuine.</w:t>
      </w:r>
    </w:p>
    <w:p>
      <w:pPr>
        <w:spacing w:after="0" w:line="187" w:lineRule="exact"/>
        <w:rPr>
          <w:sz w:val="20"/>
          <w:szCs w:val="20"/>
          <w:color w:val="auto"/>
        </w:rPr>
      </w:pPr>
    </w:p>
    <w:p>
      <w:pPr>
        <w:jc w:val="both"/>
        <w:ind w:left="640" w:hanging="647"/>
        <w:spacing w:after="0" w:line="224" w:lineRule="auto"/>
        <w:tabs>
          <w:tab w:leader="none" w:pos="62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9"/>
          <w:szCs w:val="19"/>
          <w:color w:val="auto"/>
        </w:rPr>
        <w:t>That all public records of the Company which we have examined are accurate and that the information disclosed by the searches which we conducted against the Company at the Registry of Corporate Affairs and the High Court Registry is true and complete and that such information has not since then been altered and that such searches did not fail to disclose any information which had been delivered for registration but did not appear on the public records at the date of our searches.</w:t>
      </w:r>
    </w:p>
    <w:p>
      <w:pPr>
        <w:spacing w:after="0" w:line="156"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color w:val="auto"/>
        </w:rPr>
        <w:t>The Memorandum and Articles remain in full force and effect and are unamended and that there are a sufficient number of authorised shares to allow for the issuance of the Shares.</w:t>
      </w:r>
    </w:p>
    <w:p>
      <w:pPr>
        <w:spacing w:after="0" w:line="155" w:lineRule="exact"/>
        <w:rPr>
          <w:sz w:val="20"/>
          <w:szCs w:val="20"/>
          <w:color w:val="auto"/>
        </w:rPr>
      </w:pPr>
    </w:p>
    <w:p>
      <w:pPr>
        <w:jc w:val="both"/>
        <w:ind w:left="640" w:hanging="647"/>
        <w:spacing w:after="0" w:line="229" w:lineRule="auto"/>
        <w:tabs>
          <w:tab w:leader="none" w:pos="62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The Resolutions were each signed by all the directors in the manner prescribed in the Memorandum and Articles of the Company, including as to the disclosure of any director's interests, and have not been amended, varied or revoked in any respect.</w:t>
      </w:r>
    </w:p>
    <w:p>
      <w:pPr>
        <w:spacing w:after="0" w:line="158"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9"/>
          <w:szCs w:val="19"/>
          <w:color w:val="auto"/>
        </w:rPr>
        <w:t>The members of the Company (the "</w:t>
      </w:r>
      <w:r>
        <w:rPr>
          <w:rFonts w:ascii="Arial" w:cs="Arial" w:eastAsia="Arial" w:hAnsi="Arial"/>
          <w:sz w:val="19"/>
          <w:szCs w:val="19"/>
          <w:b w:val="1"/>
          <w:bCs w:val="1"/>
          <w:color w:val="auto"/>
        </w:rPr>
        <w:t>Members</w:t>
      </w:r>
      <w:r>
        <w:rPr>
          <w:rFonts w:ascii="Arial" w:cs="Arial" w:eastAsia="Arial" w:hAnsi="Arial"/>
          <w:sz w:val="19"/>
          <w:szCs w:val="19"/>
          <w:color w:val="auto"/>
        </w:rPr>
        <w:t>") have not restricted or limited the powers of the directors of the Company in any way.</w:t>
      </w:r>
    </w:p>
    <w:p>
      <w:pPr>
        <w:spacing w:after="0" w:line="155"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19"/>
          <w:szCs w:val="19"/>
          <w:color w:val="auto"/>
        </w:rPr>
        <w:t>2.9</w:t>
      </w:r>
      <w:r>
        <w:rPr>
          <w:sz w:val="20"/>
          <w:szCs w:val="20"/>
          <w:color w:val="auto"/>
        </w:rPr>
        <w:tab/>
      </w:r>
      <w:r>
        <w:rPr>
          <w:rFonts w:ascii="Arial" w:cs="Arial" w:eastAsia="Arial" w:hAnsi="Arial"/>
          <w:sz w:val="19"/>
          <w:szCs w:val="19"/>
          <w:color w:val="auto"/>
        </w:rPr>
        <w:t>No invitation has been or will be made by or on behalf of the Company to the public in the British Virgin Islands to subscribe for any of the Shares.</w:t>
      </w:r>
    </w:p>
    <w:p>
      <w:pPr>
        <w:spacing w:after="0" w:line="155" w:lineRule="exact"/>
        <w:rPr>
          <w:sz w:val="20"/>
          <w:szCs w:val="20"/>
          <w:color w:val="auto"/>
        </w:rPr>
      </w:pPr>
    </w:p>
    <w:p>
      <w:pPr>
        <w:jc w:val="both"/>
        <w:ind w:left="640" w:right="20" w:hanging="647"/>
        <w:spacing w:after="0" w:line="241" w:lineRule="auto"/>
        <w:tabs>
          <w:tab w:leader="none" w:pos="620" w:val="left"/>
        </w:tabs>
        <w:rPr>
          <w:sz w:val="20"/>
          <w:szCs w:val="20"/>
          <w:color w:val="auto"/>
        </w:rPr>
      </w:pPr>
      <w:r>
        <w:rPr>
          <w:rFonts w:ascii="Arial" w:cs="Arial" w:eastAsia="Arial" w:hAnsi="Arial"/>
          <w:sz w:val="19"/>
          <w:szCs w:val="19"/>
          <w:color w:val="auto"/>
        </w:rPr>
        <w:t>2.10</w:t>
        <w:tab/>
        <w:t>The Shares issued pursuant to the Agreement have been, or will be, duly registered, and will continue to be registered, in the Company's register of members.</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2.11</w:t>
        <w:tab/>
        <w:t>The Company has received, or will receive, cash consideration or non-cash consideration in consideration for the issue of the</w:t>
      </w:r>
    </w:p>
    <w:p>
      <w:pPr>
        <w:ind w:left="660"/>
        <w:spacing w:after="0"/>
        <w:rPr>
          <w:sz w:val="20"/>
          <w:szCs w:val="20"/>
          <w:color w:val="auto"/>
        </w:rPr>
      </w:pPr>
      <w:r>
        <w:rPr>
          <w:rFonts w:ascii="Arial" w:cs="Arial" w:eastAsia="Arial" w:hAnsi="Arial"/>
          <w:sz w:val="19"/>
          <w:szCs w:val="19"/>
          <w:color w:val="auto"/>
        </w:rPr>
        <w:t>Shares, and that:</w:t>
      </w:r>
    </w:p>
    <w:p>
      <w:pPr>
        <w:spacing w:after="0" w:line="169" w:lineRule="exact"/>
        <w:rPr>
          <w:sz w:val="20"/>
          <w:szCs w:val="20"/>
          <w:color w:val="auto"/>
        </w:rPr>
      </w:pPr>
    </w:p>
    <w:p>
      <w:pPr>
        <w:ind w:left="1100" w:hanging="444"/>
        <w:spacing w:after="0"/>
        <w:tabs>
          <w:tab w:leader="none" w:pos="1100" w:val="left"/>
        </w:tabs>
        <w:numPr>
          <w:ilvl w:val="0"/>
          <w:numId w:val="4"/>
        </w:numPr>
        <w:rPr>
          <w:rFonts w:ascii="Arial" w:cs="Arial" w:eastAsia="Arial" w:hAnsi="Arial"/>
          <w:sz w:val="19"/>
          <w:szCs w:val="19"/>
          <w:color w:val="auto"/>
        </w:rPr>
      </w:pPr>
      <w:r>
        <w:rPr>
          <w:rFonts w:ascii="Arial" w:cs="Arial" w:eastAsia="Arial" w:hAnsi="Arial"/>
          <w:sz w:val="19"/>
          <w:szCs w:val="19"/>
          <w:color w:val="auto"/>
        </w:rPr>
        <w:t>none of the Shares have been, or will be, issued for less than their par value; and</w:t>
      </w:r>
    </w:p>
    <w:p>
      <w:pPr>
        <w:spacing w:after="0" w:line="186" w:lineRule="exact"/>
        <w:rPr>
          <w:rFonts w:ascii="Arial" w:cs="Arial" w:eastAsia="Arial" w:hAnsi="Arial"/>
          <w:sz w:val="19"/>
          <w:szCs w:val="19"/>
          <w:color w:val="auto"/>
        </w:rPr>
      </w:pPr>
    </w:p>
    <w:p>
      <w:pPr>
        <w:ind w:left="1220" w:hanging="564"/>
        <w:spacing w:after="0" w:line="229" w:lineRule="auto"/>
        <w:tabs>
          <w:tab w:leader="none" w:pos="1114"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the extent that any Shares are, or will be, issued, in whole or in part, for non-cash consideration, the value of the non-cash consideration and cash consideration, if any, is not less than the amount credited or to be credited for such Shares.</w:t>
      </w:r>
    </w:p>
    <w:p>
      <w:pPr>
        <w:spacing w:after="0" w:line="158" w:lineRule="exact"/>
        <w:rPr>
          <w:sz w:val="20"/>
          <w:szCs w:val="20"/>
          <w:color w:val="auto"/>
        </w:rPr>
      </w:pPr>
    </w:p>
    <w:p>
      <w:pPr>
        <w:jc w:val="both"/>
        <w:ind w:left="640" w:hanging="647"/>
        <w:spacing w:after="0" w:line="229" w:lineRule="auto"/>
        <w:tabs>
          <w:tab w:leader="none" w:pos="620" w:val="left"/>
        </w:tabs>
        <w:rPr>
          <w:sz w:val="20"/>
          <w:szCs w:val="20"/>
          <w:color w:val="auto"/>
        </w:rPr>
      </w:pPr>
      <w:r>
        <w:rPr>
          <w:rFonts w:ascii="Arial" w:cs="Arial" w:eastAsia="Arial" w:hAnsi="Arial"/>
          <w:sz w:val="19"/>
          <w:szCs w:val="19"/>
          <w:color w:val="auto"/>
        </w:rPr>
        <w:t>2.12</w:t>
        <w:tab/>
        <w:t>The issue of the Shares to the Selling Shareholder by the Company as contemplated by the Agreement, as applicable, was authorised and such Shares were legally issued, fully paid and non-assessable (as a matter of all relevant laws, other than the laws of the British Virgin Islands) and all conditions to the issuance of the Shares pursuant to the Agreement were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322" w:lineRule="exact"/>
        <w:rPr>
          <w:sz w:val="20"/>
          <w:szCs w:val="20"/>
          <w:color w:val="auto"/>
        </w:rPr>
      </w:pPr>
    </w:p>
    <w:p>
      <w:pPr>
        <w:ind w:left="640" w:right="20" w:hanging="647"/>
        <w:spacing w:after="0" w:line="241" w:lineRule="auto"/>
        <w:tabs>
          <w:tab w:leader="none" w:pos="620" w:val="left"/>
        </w:tabs>
        <w:rPr>
          <w:sz w:val="20"/>
          <w:szCs w:val="20"/>
          <w:color w:val="auto"/>
        </w:rPr>
      </w:pPr>
      <w:r>
        <w:rPr>
          <w:rFonts w:ascii="Arial" w:cs="Arial" w:eastAsia="Arial" w:hAnsi="Arial"/>
          <w:sz w:val="19"/>
          <w:szCs w:val="19"/>
          <w:color w:val="auto"/>
        </w:rPr>
        <w:t>2.13</w:t>
        <w:tab/>
        <w:t>There is nothing under any law (other than the laws of the British Virgin Islands) which would or might affect the opinions set out below.</w:t>
      </w:r>
    </w:p>
    <w:p>
      <w:pPr>
        <w:spacing w:after="0" w:line="47"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Save as aforesaid we have not been instructed to undertake and have not undertaken any further enquiry or due diligence in relation to the transaction the subject of this opinion.</w:t>
      </w:r>
    </w:p>
    <w:p>
      <w:pPr>
        <w:spacing w:after="0" w:line="155"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19"/>
          <w:szCs w:val="19"/>
          <w:b w:val="1"/>
          <w:bCs w:val="1"/>
          <w:color w:val="auto"/>
        </w:rPr>
        <w:t>Opinions</w:t>
      </w:r>
    </w:p>
    <w:p>
      <w:pPr>
        <w:spacing w:after="0" w:line="8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Based upon, and subject to, the foregoing assumptions and the qualifications set out below, and having regard to such legal considerations as we deem relevant, we are of the opinion that:</w:t>
      </w:r>
    </w:p>
    <w:p>
      <w:pPr>
        <w:spacing w:after="0" w:line="155" w:lineRule="exact"/>
        <w:rPr>
          <w:sz w:val="20"/>
          <w:szCs w:val="20"/>
          <w:color w:val="auto"/>
        </w:rPr>
      </w:pPr>
    </w:p>
    <w:p>
      <w:pPr>
        <w:jc w:val="both"/>
        <w:ind w:left="640" w:hanging="647"/>
        <w:spacing w:after="0" w:line="224" w:lineRule="auto"/>
        <w:tabs>
          <w:tab w:leader="none" w:pos="62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Shares held by the Selling Shareholder to be resold as contemplated by the Registration Statement were duly authorised, and when issued and paid for in the manner described in the Agreement and in accordance with the Resolutions, such Shares were legally issued, fully paid and non-assessable. As a matter of British Virgin Islands law, a share is only issued when it has been entered in the register of members of the Company.</w:t>
      </w:r>
    </w:p>
    <w:p>
      <w:pPr>
        <w:spacing w:after="0" w:line="156"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19"/>
          <w:szCs w:val="19"/>
          <w:b w:val="1"/>
          <w:bCs w:val="1"/>
          <w:color w:val="auto"/>
        </w:rPr>
        <w:t>Qualifications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The opinions expressed above are subject to the following qualifications:</w:t>
      </w:r>
    </w:p>
    <w:p>
      <w:pPr>
        <w:spacing w:after="0" w:line="187"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We have not reviewed the Agreement save as expressly referred to in paragraph 3.1 of this opinion and our opinions are qualified accordingly.</w:t>
      </w:r>
    </w:p>
    <w:p>
      <w:pPr>
        <w:spacing w:after="0" w:line="155" w:lineRule="exact"/>
        <w:rPr>
          <w:sz w:val="20"/>
          <w:szCs w:val="20"/>
          <w:color w:val="auto"/>
        </w:rPr>
      </w:pPr>
    </w:p>
    <w:p>
      <w:pPr>
        <w:jc w:val="both"/>
        <w:ind w:left="640" w:hanging="647"/>
        <w:spacing w:after="0" w:line="224" w:lineRule="auto"/>
        <w:tabs>
          <w:tab w:leader="none" w:pos="62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We express no view as to the commercial terms of the Agreement or whether such terms represent the intentions of the parties and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56" w:lineRule="exact"/>
        <w:rPr>
          <w:sz w:val="20"/>
          <w:szCs w:val="20"/>
          <w:color w:val="auto"/>
        </w:rPr>
      </w:pPr>
    </w:p>
    <w:p>
      <w:pPr>
        <w:jc w:val="both"/>
        <w:ind w:left="640" w:hanging="647"/>
        <w:spacing w:after="0" w:line="214" w:lineRule="auto"/>
        <w:tabs>
          <w:tab w:leader="none" w:pos="62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 xml:space="preserve">Under British Virgin Islands law, the register of members is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title to shares and this register would not record a third party interest in such shares. However, there are certain limited circumstances where an application may be made to a British Virgin Islands court for a determination on whether the register of members reflects the correct legal position. Further, the British Virgin Islands court has the power to order that the register of members maintained by a company should be rectified where it considers that the register of members does not reflect the correct legal position. For the purposes of the opinion given in paragraph 3.1, there are no circumstances or matters of fact known to us on the date of this opinion letter which would properly form the basis for an application for an order for rectification of the register of members of the Company, but if such an application were made in respect of the Company's Shares, then the validity of such shares may be subject to re-examination by a British Virgin Islands court.</w:t>
      </w:r>
    </w:p>
    <w:p>
      <w:pPr>
        <w:spacing w:after="0" w:line="164" w:lineRule="exact"/>
        <w:rPr>
          <w:sz w:val="20"/>
          <w:szCs w:val="20"/>
          <w:color w:val="auto"/>
        </w:rPr>
      </w:pPr>
    </w:p>
    <w:p>
      <w:pPr>
        <w:jc w:val="both"/>
        <w:ind w:left="640" w:hanging="647"/>
        <w:spacing w:after="0" w:line="229" w:lineRule="auto"/>
        <w:tabs>
          <w:tab w:leader="none" w:pos="62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58" w:lineRule="exact"/>
        <w:rPr>
          <w:sz w:val="20"/>
          <w:szCs w:val="20"/>
          <w:color w:val="auto"/>
        </w:rPr>
      </w:pPr>
    </w:p>
    <w:p>
      <w:pPr>
        <w:jc w:val="both"/>
        <w:ind w:left="640" w:hanging="647"/>
        <w:spacing w:after="0" w:line="220" w:lineRule="auto"/>
        <w:tabs>
          <w:tab w:leader="none" w:pos="62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9"/>
          <w:szCs w:val="19"/>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5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We hereby consent to the filing of this opinion as an exhibit to the Registration Statement and to the reference to our firm under the heading "Validity of Securities" in the prospectus included in the Registration Statement. In providing our consent, we do not thereby admit that we are in the category of persons whose consent is required under Section 7 of the SEC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322"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This opinion is addressed to you and may be relied upon by you, your counsel and purchasers of Shares pursuant to the Registration Statement. This opinion is limited to the matters detailed herein and is not to be read as an opinion with respect to any other matter.</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 Maples and Calder</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Maples and Calder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2024-03-12T15:50:01Z</dcterms:created>
  <dcterms:modified xsi:type="dcterms:W3CDTF">2024-03-12T15:50:01Z</dcterms:modified>
</cp:coreProperties>
</file>