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83308.xml.htm"/>
      <w:bookmarkStart w:id="1" w:name="kswkform4_17896833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Gentile Kimberly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BIOHAVEN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215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Biohaven Ltd.</w:t>
              </w:r>
            </w:hyperlink>
            <w:r>
              <w:rPr/>
              <w:t xml:space="preserve"> [ </w:t>
            </w:r>
            <w:r>
              <w:rPr>
                <w:rFonts w:ascii="Times;serif" w:hAnsi="Times;serif"/>
                <w:color w:val="0000FF"/>
                <w:sz w:val="24"/>
                <w:shd w:fill="FFFFFF" w:val="clear"/>
              </w:rPr>
              <w:t>BHVN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Clinical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1,000</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Son</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vest in four equal installments on September 15, 2026, 2027, 2028 and 2029, subject to the Reporting Person's son's continuous service with the Issuer at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stock option granted to the Reporting Person's son in connection with the commencement of his employment with the Issuer. The Reporting Person disclaims beneficial ownership of all securities held by her son, and this report should not be deemed an admission that the Reporting Person is the beneficial owner of such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George Clark,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4186" TargetMode="External"/><Relationship Id="rId5" Type="http://schemas.openxmlformats.org/officeDocument/2006/relationships/hyperlink" Target="http://www.sec.gov/cgi-bin/browse-edgar?action=getcompany&amp;CIK=0001935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3644</Characters>
  <CharactersWithSpaces>4243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