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George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80"/>
        <w:spacing w:after="0" w:line="338" w:lineRule="auto"/>
        <w:rPr>
          <w:sz w:val="20"/>
          <w:szCs w:val="20"/>
          <w:color w:val="auto"/>
        </w:rPr>
      </w:pPr>
      <w:r>
        <w:rPr>
          <w:rFonts w:ascii="Arial" w:cs="Arial" w:eastAsia="Arial" w:hAnsi="Arial"/>
          <w:sz w:val="17"/>
          <w:szCs w:val="17"/>
          <w:color w:val="0000FF"/>
        </w:rPr>
        <w:t>C/O BIOHAVEN PHARMACEUTICALS, INC. 215 CHURCH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HAVEN</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Biohaven Ltd.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BHVN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2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VP, Chief Accounting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29.49</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11/02/2023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11/02/2033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22,500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22,500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shares underlying this option vest in four equal installments on November 2, 2023, 2024, 2025, and 2026, subject to the Reporting Person's continuous service with the Issuer at each vesting 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George Clark</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11/06/2023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8290"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2023-11-06T19:43:46Z</dcterms:created>
  <dcterms:modified xsi:type="dcterms:W3CDTF">2023-11-06T19:43:46Z</dcterms:modified>
</cp:coreProperties>
</file>